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23715">
      <w:pPr>
        <w:widowControl w:val="0"/>
        <w:spacing w:line="360" w:lineRule="auto"/>
        <w:ind w:right="-20"/>
        <w:jc w:val="right"/>
        <w:rPr>
          <w:rFonts w:ascii="Times New Roman" w:hAnsi="Times New Roman" w:eastAsia="Arial" w:cs="Times New Roman"/>
          <w:sz w:val="28"/>
          <w:szCs w:val="28"/>
        </w:rPr>
      </w:pPr>
      <w:bookmarkStart w:id="0" w:name="_page_2_0"/>
      <w:r>
        <w:rPr>
          <w:rFonts w:ascii="Times New Roman" w:hAnsi="Times New Roman" w:eastAsia="Arial" w:cs="Times New Roman"/>
          <w:sz w:val="28"/>
          <w:szCs w:val="28"/>
        </w:rPr>
        <w:t>Зарегистрировано в Минюсте России 15 мая 2025 г. № 82197</w:t>
      </w:r>
    </w:p>
    <w:p w14:paraId="1403EC7B">
      <w:pPr>
        <w:pStyle w:val="12"/>
        <w:pBdr>
          <w:bottom w:val="single" w:color="auto" w:sz="6" w:space="0"/>
        </w:pBdr>
        <w:jc w:val="both"/>
        <w:rPr>
          <w:sz w:val="28"/>
          <w:szCs w:val="28"/>
        </w:rPr>
      </w:pPr>
    </w:p>
    <w:p w14:paraId="7593DEC1">
      <w:pPr>
        <w:pStyle w:val="12"/>
        <w:rPr>
          <w:sz w:val="28"/>
          <w:szCs w:val="28"/>
        </w:rPr>
      </w:pPr>
    </w:p>
    <w:p w14:paraId="7BD92609">
      <w:pPr>
        <w:widowControl w:val="0"/>
        <w:spacing w:line="240" w:lineRule="auto"/>
        <w:ind w:right="-20"/>
        <w:jc w:val="center"/>
        <w:rPr>
          <w:rFonts w:ascii="Times New Roman" w:hAnsi="Times New Roman" w:eastAsia="Arial" w:cs="Times New Roman"/>
          <w:b/>
          <w:bCs/>
          <w:sz w:val="28"/>
          <w:szCs w:val="28"/>
        </w:rPr>
      </w:pPr>
      <w:r>
        <w:rPr>
          <w:rFonts w:ascii="Times New Roman" w:hAnsi="Times New Roman" w:eastAsia="Arial" w:cs="Times New Roman"/>
          <w:b/>
          <w:bCs/>
          <w:sz w:val="28"/>
          <w:szCs w:val="28"/>
        </w:rPr>
        <w:t xml:space="preserve">МИНИСТЕРСТВО ПРОСВЕЩЕНИЯ </w:t>
      </w:r>
      <w:r>
        <w:rPr>
          <w:rFonts w:ascii="Times New Roman" w:hAnsi="Times New Roman" w:eastAsia="Arial" w:cs="Times New Roman"/>
          <w:b/>
          <w:bCs/>
          <w:sz w:val="28"/>
          <w:szCs w:val="28"/>
        </w:rPr>
        <w:br w:type="textWrapping"/>
      </w:r>
      <w:r>
        <w:rPr>
          <w:rFonts w:ascii="Times New Roman" w:hAnsi="Times New Roman" w:eastAsia="Arial" w:cs="Times New Roman"/>
          <w:b/>
          <w:bCs/>
          <w:sz w:val="28"/>
          <w:szCs w:val="28"/>
        </w:rPr>
        <w:t>РОССИЙ</w:t>
      </w:r>
      <w:bookmarkStart w:id="5" w:name="_GoBack"/>
      <w:bookmarkEnd w:id="5"/>
      <w:r>
        <w:rPr>
          <w:rFonts w:ascii="Times New Roman" w:hAnsi="Times New Roman" w:eastAsia="Arial" w:cs="Times New Roman"/>
          <w:b/>
          <w:bCs/>
          <w:sz w:val="28"/>
          <w:szCs w:val="28"/>
        </w:rPr>
        <w:t>СКОЙ ФЕДЕРАЦИИ</w:t>
      </w:r>
    </w:p>
    <w:p w14:paraId="7F94A1B7">
      <w:pPr>
        <w:widowControl w:val="0"/>
        <w:spacing w:line="240" w:lineRule="auto"/>
        <w:ind w:right="-20"/>
        <w:jc w:val="center"/>
        <w:rPr>
          <w:rFonts w:ascii="Times New Roman" w:hAnsi="Times New Roman" w:eastAsia="Arial" w:cs="Times New Roman"/>
          <w:b/>
          <w:bCs/>
          <w:sz w:val="28"/>
          <w:szCs w:val="28"/>
        </w:rPr>
      </w:pPr>
      <w:r>
        <w:rPr>
          <w:rFonts w:ascii="Times New Roman" w:hAnsi="Times New Roman" w:eastAsia="Arial" w:cs="Times New Roman"/>
          <w:b/>
          <w:bCs/>
          <w:sz w:val="28"/>
          <w:szCs w:val="28"/>
        </w:rPr>
        <w:t>(МИНПРОСВЕЩЕНИЯ РОССИИ)</w:t>
      </w:r>
    </w:p>
    <w:p w14:paraId="54951051">
      <w:pPr>
        <w:spacing w:line="240" w:lineRule="auto"/>
        <w:jc w:val="center"/>
        <w:rPr>
          <w:rFonts w:ascii="Times New Roman" w:hAnsi="Times New Roman" w:eastAsia="Arial" w:cs="Times New Roman"/>
          <w:sz w:val="28"/>
          <w:szCs w:val="28"/>
        </w:rPr>
      </w:pPr>
    </w:p>
    <w:p w14:paraId="759FE6BD">
      <w:pPr>
        <w:widowControl w:val="0"/>
        <w:spacing w:line="240" w:lineRule="auto"/>
        <w:ind w:right="-20"/>
        <w:jc w:val="center"/>
        <w:rPr>
          <w:rFonts w:ascii="Times New Roman" w:hAnsi="Times New Roman" w:eastAsia="Arial" w:cs="Times New Roman"/>
          <w:b/>
          <w:bCs/>
          <w:sz w:val="28"/>
          <w:szCs w:val="28"/>
        </w:rPr>
      </w:pPr>
      <w:r>
        <w:rPr>
          <w:rFonts w:ascii="Times New Roman" w:hAnsi="Times New Roman" w:eastAsia="Arial" w:cs="Times New Roman"/>
          <w:b/>
          <w:bCs/>
          <w:sz w:val="28"/>
          <w:szCs w:val="28"/>
        </w:rPr>
        <w:t>П Р И К А З</w:t>
      </w:r>
    </w:p>
    <w:p w14:paraId="6A1D8929">
      <w:pPr>
        <w:widowControl w:val="0"/>
        <w:spacing w:line="240" w:lineRule="auto"/>
        <w:ind w:right="-20"/>
        <w:jc w:val="center"/>
        <w:rPr>
          <w:rFonts w:ascii="Times New Roman" w:hAnsi="Times New Roman" w:eastAsia="Arial" w:cs="Times New Roman"/>
          <w:b/>
          <w:bCs/>
          <w:sz w:val="28"/>
          <w:szCs w:val="28"/>
        </w:rPr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6"/>
        <w:gridCol w:w="5217"/>
      </w:tblGrid>
      <w:tr w14:paraId="4CC13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6" w:type="dxa"/>
          </w:tcPr>
          <w:p w14:paraId="0EF22BD9">
            <w:pPr>
              <w:widowControl w:val="0"/>
              <w:spacing w:line="240" w:lineRule="auto"/>
              <w:ind w:right="-20"/>
              <w:rPr>
                <w:rFonts w:ascii="Times New Roman" w:hAnsi="Times New Roman" w:eastAsia="Arial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sz w:val="28"/>
                <w:szCs w:val="28"/>
              </w:rPr>
              <w:t>31 марта 2025 г.</w:t>
            </w:r>
          </w:p>
        </w:tc>
        <w:tc>
          <w:tcPr>
            <w:tcW w:w="5217" w:type="dxa"/>
          </w:tcPr>
          <w:p w14:paraId="7B88DE33">
            <w:pPr>
              <w:widowControl w:val="0"/>
              <w:spacing w:line="240" w:lineRule="auto"/>
              <w:ind w:right="-20"/>
              <w:jc w:val="right"/>
              <w:rPr>
                <w:rFonts w:ascii="Times New Roman" w:hAnsi="Times New Roman" w:eastAsia="Arial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sz w:val="28"/>
                <w:szCs w:val="28"/>
              </w:rPr>
              <w:t>№ 253</w:t>
            </w:r>
          </w:p>
        </w:tc>
      </w:tr>
    </w:tbl>
    <w:p w14:paraId="4D91400F">
      <w:pPr>
        <w:widowControl w:val="0"/>
        <w:spacing w:line="240" w:lineRule="auto"/>
        <w:ind w:right="-20"/>
        <w:jc w:val="center"/>
        <w:rPr>
          <w:rFonts w:ascii="Times New Roman" w:hAnsi="Times New Roman" w:eastAsia="Arial" w:cs="Times New Roman"/>
          <w:b/>
          <w:bCs/>
          <w:sz w:val="28"/>
          <w:szCs w:val="28"/>
        </w:rPr>
      </w:pPr>
    </w:p>
    <w:p w14:paraId="1A188E3E">
      <w:pPr>
        <w:widowControl w:val="0"/>
        <w:spacing w:line="240" w:lineRule="auto"/>
        <w:ind w:right="-20"/>
        <w:jc w:val="center"/>
        <w:rPr>
          <w:rFonts w:ascii="Times New Roman" w:hAnsi="Times New Roman" w:eastAsia="Arial" w:cs="Times New Roman"/>
          <w:b/>
          <w:bCs/>
          <w:sz w:val="28"/>
          <w:szCs w:val="28"/>
        </w:rPr>
      </w:pPr>
      <w:r>
        <w:rPr>
          <w:rFonts w:ascii="Times New Roman" w:hAnsi="Times New Roman" w:eastAsia="Arial" w:cs="Times New Roman"/>
          <w:b/>
          <w:bCs/>
          <w:sz w:val="28"/>
          <w:szCs w:val="28"/>
        </w:rPr>
        <w:t>Москва</w:t>
      </w:r>
    </w:p>
    <w:p w14:paraId="480C1C74">
      <w:pPr>
        <w:spacing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13AC698E">
      <w:pPr>
        <w:widowControl w:val="0"/>
        <w:spacing w:line="240" w:lineRule="auto"/>
        <w:ind w:left="156" w:right="94"/>
        <w:jc w:val="center"/>
        <w:rPr>
          <w:rFonts w:ascii="Times New Roman" w:hAnsi="Times New Roman" w:eastAsia="Arial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6674485</wp:posOffset>
                </wp:positionH>
                <wp:positionV relativeFrom="paragraph">
                  <wp:posOffset>439420</wp:posOffset>
                </wp:positionV>
                <wp:extent cx="0" cy="9525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525">
                              <a:moveTo>
                                <a:pt x="0" y="952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615" cap="flat">
                          <a:solidFill>
                            <a:srgbClr val="0000ED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" o:spid="_x0000_s1026" o:spt="100" style="position:absolute;left:0pt;margin-left:525.55pt;margin-top:34.6pt;height:0.75pt;width:0pt;mso-position-horizontal-relative:page;z-index:-251656192;mso-width-relative:page;mso-height-relative:page;" filled="f" stroked="t" coordsize="1,9525" o:allowincell="f" o:gfxdata="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85xa01gAAAAsB&#10;AAAPAAAAAAAAAAEAIAAAACIAAABkcnMvZG93bnJldi54bWxQSwECFAAUAAAACACHTuJAjOhDMx0C&#10;AACtBAAADgAAAAAAAAABACAAAAAlAQAAZHJzL2Uyb0RvYy54bWxQSwUGAAAAAAYABgBZAQAAtAUA&#10;AAAA&#10;" path="m0,9525l0,0e">
                <v:fill on="f" focussize="0,0"/>
                <v:stroke weight="0.127165354330709pt" color="#0000ED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7014210</wp:posOffset>
                </wp:positionH>
                <wp:positionV relativeFrom="paragraph">
                  <wp:posOffset>591820</wp:posOffset>
                </wp:positionV>
                <wp:extent cx="0" cy="9525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525">
                              <a:moveTo>
                                <a:pt x="0" y="952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187" cap="flat">
                          <a:solidFill>
                            <a:srgbClr val="0000ED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" o:spid="_x0000_s1026" o:spt="100" style="position:absolute;left:0pt;margin-left:552.3pt;margin-top:46.6pt;height:0.75pt;width:0pt;mso-position-horizontal-relative:page;z-index:-251655168;mso-width-relative:page;mso-height-relative:page;" filled="f" stroked="t" coordsize="1,9525" o:allowincell="f" o:gfxdata="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lsldR1wAAAAsB&#10;AAAPAAAAAAAAAAEAIAAAACIAAABkcnMvZG93bnJldi54bWxQSwECFAAUAAAACACHTuJAjU0nqxwC&#10;AACtBAAADgAAAAAAAAABACAAAAAmAQAAZHJzL2Uyb0RvYy54bWxQSwUGAAAAAAYABgBZAQAAtAUA&#10;AAAA&#10;" path="m0,9525l0,0e">
                <v:fill on="f" focussize="0,0"/>
                <v:stroke weight="0.329685039370079pt" color="#0000ED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Arial" w:cs="Times New Roman"/>
          <w:b/>
          <w:bCs/>
          <w:sz w:val="28"/>
          <w:szCs w:val="28"/>
        </w:rPr>
        <w:t>Об утверждении Порядка обеспечения условий доступности для инвалидов объектов и предоставляемых услуг в сфере общего,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организации отдыха и оздоровления детей, а также оказания им при этом необходимой помощи</w:t>
      </w:r>
    </w:p>
    <w:p w14:paraId="585A3723">
      <w:pPr>
        <w:spacing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1DFCDA5E">
      <w:pPr>
        <w:widowControl w:val="0"/>
        <w:spacing w:line="360" w:lineRule="auto"/>
        <w:ind w:left="150" w:right="125" w:firstLine="390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В соответствии с частью второй статьи 15 Федерального закона от 24 ноября 1995 г. № 181-ФЗ "О социальной защите инвалидов в Российской Федерации", абзацем вторым пункта 1 статьи 12_1 Федерального закона от 24 июля 1998 г. № 124-ФЗ "Об основных гарантиях прав ребенка в Российской Федерации" и подпунктами 4.2.45 и 4.8 пункта 4 Положения о Министерстве просвещения Российской Федерации, утвержденного постановлением Правительства Российской Федерации от 28 июля 2018 г. № 884,</w:t>
      </w:r>
    </w:p>
    <w:p w14:paraId="0852096A">
      <w:pPr>
        <w:widowControl w:val="0"/>
        <w:spacing w:line="360" w:lineRule="auto"/>
        <w:ind w:left="150" w:right="-20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приказываю:</w:t>
      </w:r>
    </w:p>
    <w:p w14:paraId="4E3FE300">
      <w:pPr>
        <w:widowControl w:val="0"/>
        <w:spacing w:line="360" w:lineRule="auto"/>
        <w:ind w:left="150" w:right="125" w:firstLine="390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7285990</wp:posOffset>
                </wp:positionH>
                <wp:positionV relativeFrom="paragraph">
                  <wp:posOffset>448310</wp:posOffset>
                </wp:positionV>
                <wp:extent cx="0" cy="9525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525">
                              <a:moveTo>
                                <a:pt x="0" y="952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93" cap="flat">
                          <a:solidFill>
                            <a:srgbClr val="0000ED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" o:spid="_x0000_s1026" o:spt="100" style="position:absolute;left:0pt;margin-left:573.7pt;margin-top:35.3pt;height:0.75pt;width:0pt;mso-position-horizontal-relative:page;z-index:-251653120;mso-width-relative:page;mso-height-relative:page;" filled="f" stroked="t" coordsize="1,9525" o:allowincell="f" o:gfxdata="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u2dljVAAAACwEA&#10;AA8AAAAAAAAAAQAgAAAAIgAAAGRycy9kb3ducmV2LnhtbFBLAQIUABQAAAAIAIdO4kC6s8aIHQIA&#10;AKwEAAAOAAAAAAAAAAEAIAAAACQBAABkcnMvZTJvRG9jLnhtbFBLBQYAAAAABgAGAFkBAACzBQAA&#10;AAA=&#10;" path="m0,9525l0,0e">
                <v:fill on="f" focussize="0,0"/>
                <v:stroke weight="0.0309448818897638pt" color="#0000ED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Arial" w:cs="Times New Roman"/>
          <w:sz w:val="28"/>
          <w:szCs w:val="28"/>
        </w:rPr>
        <w:t>1. Утвердить прилагаемый Порядок обеспечения условий доступности для инвалидов объектов и предоставляемых услуг в сфере общего,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организации отдыха и оздоровления детей, а также оказания им при этом необходимой помощи.</w:t>
      </w:r>
    </w:p>
    <w:p w14:paraId="19B40DFD">
      <w:pPr>
        <w:widowControl w:val="0"/>
        <w:spacing w:line="360" w:lineRule="auto"/>
        <w:ind w:left="150" w:right="125" w:firstLine="390"/>
        <w:jc w:val="both"/>
        <w:rPr>
          <w:rFonts w:ascii="Times New Roman" w:hAnsi="Times New Roman" w:eastAsia="Arial" w:cs="Times New Roman"/>
          <w:sz w:val="28"/>
          <w:szCs w:val="28"/>
        </w:rPr>
      </w:pPr>
    </w:p>
    <w:p w14:paraId="03F45963">
      <w:pPr>
        <w:widowControl w:val="0"/>
        <w:spacing w:line="360" w:lineRule="auto"/>
        <w:ind w:left="540" w:right="-20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 xml:space="preserve">2. Настоящий приказ вступает в силу с 1 сентября 2025 г. и действует </w:t>
      </w:r>
      <w:r>
        <w:rPr>
          <w:rFonts w:ascii="Times New Roman" w:hAnsi="Times New Roman" w:eastAsia="Arial" w:cs="Times New Roman"/>
          <w:sz w:val="28"/>
          <w:szCs w:val="28"/>
        </w:rPr>
        <w:br w:type="textWrapping"/>
      </w:r>
      <w:r>
        <w:rPr>
          <w:rFonts w:ascii="Times New Roman" w:hAnsi="Times New Roman" w:eastAsia="Arial" w:cs="Times New Roman"/>
          <w:sz w:val="28"/>
          <w:szCs w:val="28"/>
        </w:rPr>
        <w:t>до 1 сентября 2031 года.</w:t>
      </w:r>
    </w:p>
    <w:p w14:paraId="737ED147">
      <w:pPr>
        <w:widowControl w:val="0"/>
        <w:spacing w:line="240" w:lineRule="auto"/>
        <w:ind w:left="4678" w:right="146"/>
        <w:jc w:val="right"/>
        <w:rPr>
          <w:rFonts w:ascii="Times New Roman" w:hAnsi="Times New Roman" w:eastAsia="Arial" w:cs="Times New Roman"/>
          <w:sz w:val="28"/>
          <w:szCs w:val="28"/>
        </w:rPr>
      </w:pPr>
    </w:p>
    <w:p w14:paraId="5015CB09">
      <w:pPr>
        <w:widowControl w:val="0"/>
        <w:spacing w:line="240" w:lineRule="auto"/>
        <w:ind w:left="4678" w:right="146"/>
        <w:jc w:val="right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 xml:space="preserve">Исполняющий обязанности Министра </w:t>
      </w:r>
      <w:r>
        <w:rPr>
          <w:rFonts w:ascii="Times New Roman" w:hAnsi="Times New Roman" w:eastAsia="Arial" w:cs="Times New Roman"/>
          <w:sz w:val="28"/>
          <w:szCs w:val="28"/>
        </w:rPr>
        <w:br w:type="textWrapping"/>
      </w:r>
      <w:r>
        <w:rPr>
          <w:rFonts w:ascii="Times New Roman" w:hAnsi="Times New Roman" w:eastAsia="Arial" w:cs="Times New Roman"/>
          <w:sz w:val="28"/>
          <w:szCs w:val="28"/>
        </w:rPr>
        <w:t>А.В. Бугаев</w:t>
      </w:r>
    </w:p>
    <w:p w14:paraId="4FD7D939">
      <w:pPr>
        <w:rPr>
          <w:rFonts w:ascii="Times New Roman" w:hAnsi="Times New Roman" w:eastAsia="Arial" w:cs="Times New Roman"/>
          <w:b/>
          <w:bCs/>
          <w:sz w:val="28"/>
          <w:szCs w:val="28"/>
        </w:rPr>
      </w:pPr>
      <w:r>
        <w:rPr>
          <w:rFonts w:ascii="Times New Roman" w:hAnsi="Times New Roman" w:eastAsia="Arial" w:cs="Times New Roman"/>
          <w:b/>
          <w:bCs/>
          <w:sz w:val="28"/>
          <w:szCs w:val="28"/>
        </w:rPr>
        <w:br w:type="page"/>
      </w:r>
    </w:p>
    <w:p w14:paraId="3A19D798">
      <w:pPr>
        <w:widowControl w:val="0"/>
        <w:spacing w:line="360" w:lineRule="auto"/>
        <w:ind w:left="4395" w:right="-20"/>
        <w:jc w:val="center"/>
        <w:rPr>
          <w:rFonts w:ascii="Times New Roman" w:hAnsi="Times New Roman" w:eastAsia="Arial" w:cs="Times New Roman"/>
          <w:b/>
          <w:bCs/>
          <w:sz w:val="28"/>
          <w:szCs w:val="28"/>
        </w:rPr>
      </w:pPr>
      <w:r>
        <w:rPr>
          <w:rFonts w:ascii="Times New Roman" w:hAnsi="Times New Roman" w:eastAsia="Arial" w:cs="Times New Roman"/>
          <w:b/>
          <w:bCs/>
          <w:sz w:val="28"/>
          <w:szCs w:val="28"/>
        </w:rPr>
        <w:t>УТВЕРЖДЕН</w:t>
      </w:r>
    </w:p>
    <w:p w14:paraId="5C83B644">
      <w:pPr>
        <w:widowControl w:val="0"/>
        <w:spacing w:line="360" w:lineRule="auto"/>
        <w:ind w:left="4395" w:right="145"/>
        <w:jc w:val="center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приказом Министерства просвещения Российской Федерации</w:t>
      </w:r>
    </w:p>
    <w:p w14:paraId="43F433DB">
      <w:pPr>
        <w:widowControl w:val="0"/>
        <w:spacing w:line="360" w:lineRule="auto"/>
        <w:ind w:left="4395" w:right="-20"/>
        <w:jc w:val="center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от 31 марта 2025 года № 253</w:t>
      </w:r>
    </w:p>
    <w:p w14:paraId="1B4327EB">
      <w:pPr>
        <w:widowControl w:val="0"/>
        <w:spacing w:line="360" w:lineRule="auto"/>
        <w:ind w:left="4395" w:right="-20"/>
        <w:jc w:val="center"/>
        <w:rPr>
          <w:rFonts w:ascii="Times New Roman" w:hAnsi="Times New Roman" w:eastAsia="Arial" w:cs="Times New Roman"/>
          <w:sz w:val="28"/>
          <w:szCs w:val="28"/>
        </w:rPr>
      </w:pPr>
    </w:p>
    <w:p w14:paraId="0A763AA5">
      <w:pPr>
        <w:widowControl w:val="0"/>
        <w:spacing w:line="360" w:lineRule="auto"/>
        <w:ind w:left="156" w:right="94"/>
        <w:jc w:val="center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Порядок обеспечения условий доступности для инвалидов объектов и предоставляемых услуг в сфере общего,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организации отдыха и оздоровления детей, а также оказания им при этом необходимой помощи</w:t>
      </w:r>
    </w:p>
    <w:p w14:paraId="74B4767F">
      <w:pPr>
        <w:spacing w:line="360" w:lineRule="auto"/>
        <w:rPr>
          <w:rFonts w:ascii="Times New Roman" w:hAnsi="Times New Roman" w:eastAsia="Arial" w:cs="Times New Roman"/>
          <w:sz w:val="28"/>
          <w:szCs w:val="28"/>
        </w:rPr>
      </w:pPr>
    </w:p>
    <w:p w14:paraId="1292F1CD">
      <w:pPr>
        <w:widowControl w:val="0"/>
        <w:spacing w:line="360" w:lineRule="auto"/>
        <w:ind w:right="125" w:firstLine="720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1. Обеспечение условий доступности для инвалидов объектов (помещения, здания и иные сооружения) (далее -объекты), используемых для предоставления услуг в сфере общего,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 (далее - сфера образования), в сфере организации отдыха и оздоровления детей (далее</w:t>
      </w:r>
      <w:bookmarkEnd w:id="0"/>
      <w:bookmarkStart w:id="1" w:name="_page_28_0"/>
      <w:r>
        <w:rPr>
          <w:rFonts w:ascii="Times New Roman" w:hAnsi="Times New Roman" w:eastAsia="Arial" w:cs="Times New Roman"/>
          <w:sz w:val="28"/>
          <w:szCs w:val="28"/>
        </w:rPr>
        <w:t xml:space="preserve"> - сфера отдыха), прилегающей к объектам территории, и услуг в сфере образования, в сфере отдыха (далее - услуги), оказание им при этом необходимой помощи в преодолении барьеров, мешающих получению услуг и использованию объектов наравне с другими лицами, осуществляется Министерством просвещения Российской Федерации, органами государственной власти субъектов Российской Федерации, осуществляющими государственное управление в сфере образования, в сфере отдыха, органами местного самоуправления, осуществляющими управление в сфере образования, в сфере отдыха (далее - органы), подведомственными органам организациями независимо от их организационно-правовых форм (далее - организации).</w:t>
      </w:r>
    </w:p>
    <w:p w14:paraId="2A52FF3E">
      <w:pPr>
        <w:widowControl w:val="0"/>
        <w:spacing w:line="360" w:lineRule="auto"/>
        <w:ind w:right="125" w:firstLine="720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2. Руководители органов и организаций, предоставляющих услуги, в пределах установленных полномочий организуют инструктирование или обучение специалистов, работающих с инвалидами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жизнедеятельности.</w:t>
      </w:r>
    </w:p>
    <w:p w14:paraId="4D16C916">
      <w:pPr>
        <w:widowControl w:val="0"/>
        <w:spacing w:line="360" w:lineRule="auto"/>
        <w:ind w:right="125" w:firstLine="720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3. Руководителями органов и организаций, предоставляющих услуги, обеспечивается создание инвалидам, включая инвалидов, использующих кресла-коляски и собак-проводников, следующих условий доступности объектов в соответствии с требованиями, установленными законодательством Российской Федерации и иными нормативными правовыми актами:</w:t>
      </w:r>
    </w:p>
    <w:p w14:paraId="7E2D297B">
      <w:pPr>
        <w:widowControl w:val="0"/>
        <w:spacing w:line="360" w:lineRule="auto"/>
        <w:ind w:right="93" w:firstLine="720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1) возможность самостоятельного или с помощью работников объектов передвижения по территории объектов в целях доступа к месту предоставления услуги, входа в такие объекты и выхода из них;</w:t>
      </w:r>
    </w:p>
    <w:p w14:paraId="259D4161">
      <w:pPr>
        <w:widowControl w:val="0"/>
        <w:spacing w:line="360" w:lineRule="auto"/>
        <w:ind w:right="92" w:firstLine="720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2) возможность посадки в транспортное средство и высадки из него перед входом на объекты, в том числе с использованием кресла-коляски и при необходимости с помощью работников объектов;</w:t>
      </w:r>
    </w:p>
    <w:p w14:paraId="1CE1FD15">
      <w:pPr>
        <w:widowControl w:val="0"/>
        <w:spacing w:line="360" w:lineRule="auto"/>
        <w:ind w:right="92" w:firstLine="720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3) сопровождение инвалидов, имеющих стойкие нарушения функции зрения, и возможность самостоятельного передвижения по территории объекта;</w:t>
      </w:r>
    </w:p>
    <w:p w14:paraId="24B6D61D">
      <w:pPr>
        <w:widowControl w:val="0"/>
        <w:spacing w:line="360" w:lineRule="auto"/>
        <w:ind w:right="125" w:firstLine="720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4) надлежащее размещение носителей информации, необходимой для обеспечения беспрепятственного доступа инвалидов к объектам в целях получения услуги,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рельефно-линейным и рельефно-точечным шрифтом Брайля и на контрастном фоне;</w:t>
      </w:r>
    </w:p>
    <w:p w14:paraId="733653E1">
      <w:pPr>
        <w:widowControl w:val="0"/>
        <w:spacing w:line="360" w:lineRule="auto"/>
        <w:ind w:right="145" w:firstLine="720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page">
              <wp:posOffset>933450</wp:posOffset>
            </wp:positionH>
            <wp:positionV relativeFrom="paragraph">
              <wp:posOffset>293370</wp:posOffset>
            </wp:positionV>
            <wp:extent cx="85725" cy="209550"/>
            <wp:effectExtent l="0" t="0" r="0" b="0"/>
            <wp:wrapNone/>
            <wp:docPr id="8" name="drawingObject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awingObject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Arial" w:cs="Times New Roman"/>
          <w:sz w:val="28"/>
          <w:szCs w:val="28"/>
        </w:rPr>
        <w:t>5) допуск на объекты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Российской Федерации</w:t>
      </w:r>
      <w:r>
        <w:rPr>
          <w:rStyle w:val="4"/>
          <w:rFonts w:ascii="Times New Roman" w:hAnsi="Times New Roman" w:eastAsia="Arial" w:cs="Times New Roman"/>
          <w:sz w:val="28"/>
          <w:szCs w:val="28"/>
        </w:rPr>
        <w:footnoteReference w:id="0"/>
      </w:r>
      <w:r>
        <w:rPr>
          <w:rFonts w:ascii="Times New Roman" w:hAnsi="Times New Roman" w:eastAsia="Arial" w:cs="Times New Roman"/>
          <w:sz w:val="28"/>
          <w:szCs w:val="28"/>
        </w:rPr>
        <w:t>;</w:t>
      </w:r>
    </w:p>
    <w:p w14:paraId="6FFA194A">
      <w:pPr>
        <w:widowControl w:val="0"/>
        <w:spacing w:line="360" w:lineRule="auto"/>
        <w:ind w:right="-20" w:firstLine="720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6) наличие площадки для выгула собаки-проводника (при необходимости);</w:t>
      </w:r>
    </w:p>
    <w:p w14:paraId="68A922CB">
      <w:pPr>
        <w:widowControl w:val="0"/>
        <w:spacing w:line="360" w:lineRule="auto"/>
        <w:ind w:right="92" w:firstLine="720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7) оказание необходимой инвалидам помощи в преодолении барьеров, мешающих использованию объектов в целях получения услуги наравне с другими лицами.</w:t>
      </w:r>
    </w:p>
    <w:p w14:paraId="3BA8A9C7">
      <w:pPr>
        <w:widowControl w:val="0"/>
        <w:spacing w:line="360" w:lineRule="auto"/>
        <w:ind w:right="125" w:firstLine="720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4. Руководителями органов и организаций, предоставляющих услуги, обеспечивается создание инвалидам, включая инвалидов, использующих кресла-коляски и собак-проводников, следующих условий доступности услуг в соответствии с требованиями, установленными законодательством и иными нормативными правовыми актами:</w:t>
      </w:r>
    </w:p>
    <w:p w14:paraId="5085FD93">
      <w:pPr>
        <w:widowControl w:val="0"/>
        <w:spacing w:line="360" w:lineRule="auto"/>
        <w:ind w:right="125" w:firstLine="720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1)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14:paraId="3F5DD8C7">
      <w:pPr>
        <w:widowControl w:val="0"/>
        <w:spacing w:line="360" w:lineRule="auto"/>
        <w:ind w:right="-20" w:firstLine="720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2) адаптация официального сайта органа и организации для лиц с нарушением зрения;</w:t>
      </w:r>
    </w:p>
    <w:p w14:paraId="0E52251C">
      <w:pPr>
        <w:widowControl w:val="0"/>
        <w:spacing w:line="360" w:lineRule="auto"/>
        <w:ind w:right="125" w:firstLine="720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3)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рельефно-линейным и рельефно-точечным шрифтом Брайля и на контрастном фоне;</w:t>
      </w:r>
    </w:p>
    <w:p w14:paraId="00665C59">
      <w:pPr>
        <w:widowControl w:val="0"/>
        <w:spacing w:line="360" w:lineRule="auto"/>
        <w:ind w:right="93" w:firstLine="720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4) обеспечение предоставления услуг ассистента (помощника), оказывающего необходимую техническую помощь, тьютора, переводчика русского жестового языка (сурдопереводчика, тифлосурдопереводчика) (при необходимости);</w:t>
      </w:r>
    </w:p>
    <w:p w14:paraId="71F16625">
      <w:pPr>
        <w:widowControl w:val="0"/>
        <w:spacing w:line="360" w:lineRule="auto"/>
        <w:ind w:right="-20" w:firstLine="720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5) иные условия для получения услуги, предусмотренные:</w:t>
      </w:r>
    </w:p>
    <w:p w14:paraId="5FCF95A0">
      <w:pPr>
        <w:widowControl w:val="0"/>
        <w:spacing w:line="360" w:lineRule="auto"/>
        <w:ind w:right="146" w:firstLine="720"/>
        <w:jc w:val="both"/>
        <w:rPr>
          <w:rFonts w:ascii="Times New Roman" w:hAnsi="Times New Roman" w:eastAsia="Arial" w:cs="Times New Roman"/>
          <w:sz w:val="28"/>
          <w:szCs w:val="28"/>
          <w:u w:val="single"/>
        </w:rPr>
      </w:pPr>
      <w:r>
        <w:rPr>
          <w:rFonts w:ascii="Times New Roman" w:hAnsi="Times New Roman" w:eastAsia="Arial" w:cs="Times New Roman"/>
          <w:sz w:val="28"/>
          <w:szCs w:val="28"/>
        </w:rPr>
        <w:t xml:space="preserve">а)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</w:t>
      </w:r>
      <w:bookmarkEnd w:id="1"/>
      <w:bookmarkStart w:id="2" w:name="_page_38_0"/>
      <w:r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3924300</wp:posOffset>
            </wp:positionH>
            <wp:positionV relativeFrom="paragraph">
              <wp:posOffset>-31750</wp:posOffset>
            </wp:positionV>
            <wp:extent cx="104775" cy="228600"/>
            <wp:effectExtent l="0" t="0" r="0" b="0"/>
            <wp:wrapNone/>
            <wp:docPr id="14" name="drawingObject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rawingObject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Arial" w:cs="Times New Roman"/>
          <w:sz w:val="28"/>
          <w:szCs w:val="28"/>
        </w:rPr>
        <w:t>просвещения Российской Федерации от 31 июля 2020 г. № 373</w:t>
      </w:r>
      <w:r>
        <w:rPr>
          <w:rStyle w:val="4"/>
          <w:rFonts w:ascii="Times New Roman" w:hAnsi="Times New Roman" w:eastAsia="Arial" w:cs="Times New Roman"/>
          <w:sz w:val="28"/>
          <w:szCs w:val="28"/>
        </w:rPr>
        <w:footnoteReference w:id="1"/>
      </w:r>
      <w:r>
        <w:rPr>
          <w:rFonts w:ascii="Times New Roman" w:hAnsi="Times New Roman" w:eastAsia="Arial" w:cs="Times New Roman"/>
          <w:sz w:val="28"/>
          <w:szCs w:val="28"/>
        </w:rPr>
        <w:t>;</w:t>
      </w:r>
    </w:p>
    <w:p w14:paraId="1C046E63">
      <w:pPr>
        <w:widowControl w:val="0"/>
        <w:spacing w:line="360" w:lineRule="auto"/>
        <w:ind w:right="146" w:firstLine="720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page">
              <wp:posOffset>6267450</wp:posOffset>
            </wp:positionH>
            <wp:positionV relativeFrom="paragraph">
              <wp:posOffset>300355</wp:posOffset>
            </wp:positionV>
            <wp:extent cx="104775" cy="228600"/>
            <wp:effectExtent l="0" t="0" r="0" b="0"/>
            <wp:wrapNone/>
            <wp:docPr id="18" name="drawingObject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rawingObject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Arial" w:cs="Times New Roman"/>
          <w:sz w:val="28"/>
          <w:szCs w:val="28"/>
        </w:rPr>
        <w:t xml:space="preserve">б)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</w:t>
      </w:r>
      <w:r>
        <w:rPr>
          <w:rFonts w:ascii="Times New Roman" w:hAnsi="Times New Roman" w:eastAsia="Arial" w:cs="Times New Roman"/>
          <w:sz w:val="28"/>
          <w:szCs w:val="28"/>
        </w:rPr>
        <w:br w:type="textWrapping"/>
      </w:r>
      <w:r>
        <w:rPr>
          <w:rFonts w:ascii="Times New Roman" w:hAnsi="Times New Roman" w:eastAsia="Arial" w:cs="Times New Roman"/>
          <w:sz w:val="28"/>
          <w:szCs w:val="28"/>
        </w:rPr>
        <w:t>от 22 марта 2021 г. № 115</w:t>
      </w:r>
      <w:r>
        <w:rPr>
          <w:rStyle w:val="4"/>
          <w:rFonts w:ascii="Times New Roman" w:hAnsi="Times New Roman" w:eastAsia="Arial" w:cs="Times New Roman"/>
          <w:sz w:val="28"/>
          <w:szCs w:val="28"/>
        </w:rPr>
        <w:footnoteReference w:id="2"/>
      </w:r>
      <w:r>
        <w:rPr>
          <w:rFonts w:ascii="Times New Roman" w:hAnsi="Times New Roman" w:eastAsia="Arial" w:cs="Times New Roman"/>
          <w:sz w:val="28"/>
          <w:szCs w:val="28"/>
        </w:rPr>
        <w:t>;</w:t>
      </w:r>
    </w:p>
    <w:p w14:paraId="5F32A7FD">
      <w:pPr>
        <w:widowControl w:val="0"/>
        <w:spacing w:line="360" w:lineRule="auto"/>
        <w:ind w:right="146" w:firstLine="720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 xml:space="preserve">в)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просвещения Российской Федерации от 27 </w:t>
      </w:r>
      <w:r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page">
              <wp:posOffset>1400175</wp:posOffset>
            </wp:positionH>
            <wp:positionV relativeFrom="paragraph">
              <wp:posOffset>5715</wp:posOffset>
            </wp:positionV>
            <wp:extent cx="104775" cy="219075"/>
            <wp:effectExtent l="0" t="0" r="0" b="0"/>
            <wp:wrapNone/>
            <wp:docPr id="22" name="drawingObject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rawingObject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Arial" w:cs="Times New Roman"/>
          <w:sz w:val="28"/>
          <w:szCs w:val="28"/>
        </w:rPr>
        <w:t>июля 2022 г. № 629</w:t>
      </w:r>
      <w:r>
        <w:rPr>
          <w:rStyle w:val="4"/>
          <w:rFonts w:ascii="Times New Roman" w:hAnsi="Times New Roman" w:eastAsia="Arial" w:cs="Times New Roman"/>
          <w:sz w:val="28"/>
          <w:szCs w:val="28"/>
        </w:rPr>
        <w:footnoteReference w:id="3"/>
      </w:r>
      <w:r>
        <w:rPr>
          <w:rFonts w:ascii="Times New Roman" w:hAnsi="Times New Roman" w:eastAsia="Arial" w:cs="Times New Roman"/>
          <w:sz w:val="28"/>
          <w:szCs w:val="28"/>
        </w:rPr>
        <w:t>;</w:t>
      </w:r>
    </w:p>
    <w:p w14:paraId="27EBCC92">
      <w:pPr>
        <w:widowControl w:val="0"/>
        <w:spacing w:line="360" w:lineRule="auto"/>
        <w:ind w:right="146" w:firstLine="720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page">
              <wp:posOffset>2543175</wp:posOffset>
            </wp:positionH>
            <wp:positionV relativeFrom="paragraph">
              <wp:posOffset>326390</wp:posOffset>
            </wp:positionV>
            <wp:extent cx="104775" cy="228600"/>
            <wp:effectExtent l="0" t="0" r="0" b="0"/>
            <wp:wrapNone/>
            <wp:docPr id="26" name="drawingObject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drawingObject2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Arial" w:cs="Times New Roman"/>
          <w:sz w:val="28"/>
          <w:szCs w:val="28"/>
        </w:rPr>
        <w:t xml:space="preserve">г) Порядком организации и осуществления образовательной деятельности по образовательным программам среднего профессионального образования, утвержденным приказом Министерства просвещения Российской Федерации </w:t>
      </w:r>
      <w:r>
        <w:rPr>
          <w:rFonts w:ascii="Times New Roman" w:hAnsi="Times New Roman" w:eastAsia="Arial" w:cs="Times New Roman"/>
          <w:sz w:val="28"/>
          <w:szCs w:val="28"/>
        </w:rPr>
        <w:br w:type="textWrapping"/>
      </w:r>
      <w:r>
        <w:rPr>
          <w:rFonts w:ascii="Times New Roman" w:hAnsi="Times New Roman" w:eastAsia="Arial" w:cs="Times New Roman"/>
          <w:sz w:val="28"/>
          <w:szCs w:val="28"/>
        </w:rPr>
        <w:t>от 24 августа 2022 г. № 762</w:t>
      </w:r>
      <w:r>
        <w:rPr>
          <w:rStyle w:val="4"/>
          <w:rFonts w:ascii="Times New Roman" w:hAnsi="Times New Roman" w:eastAsia="Arial" w:cs="Times New Roman"/>
          <w:sz w:val="28"/>
          <w:szCs w:val="28"/>
        </w:rPr>
        <w:footnoteReference w:id="4"/>
      </w:r>
      <w:r>
        <w:rPr>
          <w:rFonts w:ascii="Times New Roman" w:hAnsi="Times New Roman" w:eastAsia="Arial" w:cs="Times New Roman"/>
          <w:sz w:val="28"/>
          <w:szCs w:val="28"/>
        </w:rPr>
        <w:t>.</w:t>
      </w:r>
    </w:p>
    <w:p w14:paraId="4C62EBA6">
      <w:pPr>
        <w:widowControl w:val="0"/>
        <w:spacing w:line="360" w:lineRule="auto"/>
        <w:ind w:right="125" w:firstLine="720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5. Органами и организациями, предоставляющими услуги, осуществляются меры по обеспечению проектирования, строительства и приемки вновь вводимых в эксплуатацию, а также прошедших капитальный ремонт, реконструкцию, модернизацию объектов, в которых осуществляется предоставление услуг, а также по обеспечению закупки транспортных средств для обслуживания инвалидов с соблюдением требований к их доступности, установленных статьей 15 Федерального закона от 24 ноября 1995 г. № 181-ФЗ "О социальной защите инвалидов в Российской Федерации", а также норм и правил национальных стандартов и сводов правил, предусматривающих требования доступности зданий и сооружений для маломобильных групп населения, включенных в реестр требований, подлежащих применению при выполнении инженерных изысканий, осуществлении архитектурно-строительного проектирования, проведении экспертизы проектной документации и (или) экспертизы результатов инженерных изысканий, строительстве, реконструкции, капитальном ремонте, эксплуатации и сносе объектов капитального строительства.</w:t>
      </w:r>
    </w:p>
    <w:bookmarkEnd w:id="2"/>
    <w:p w14:paraId="5F9B6AE9">
      <w:pPr>
        <w:widowControl w:val="0"/>
        <w:spacing w:line="360" w:lineRule="auto"/>
        <w:ind w:right="125" w:firstLine="720"/>
        <w:jc w:val="both"/>
        <w:rPr>
          <w:rFonts w:ascii="Times New Roman" w:hAnsi="Times New Roman" w:eastAsia="Arial" w:cs="Times New Roman"/>
          <w:sz w:val="28"/>
          <w:szCs w:val="28"/>
        </w:rPr>
      </w:pPr>
      <w:bookmarkStart w:id="3" w:name="_page_74_0"/>
      <w:r>
        <w:rPr>
          <w:rFonts w:ascii="Times New Roman" w:hAnsi="Times New Roman" w:eastAsia="Arial" w:cs="Times New Roman"/>
          <w:sz w:val="28"/>
          <w:szCs w:val="28"/>
        </w:rPr>
        <w:t>6. Органы и организации, предоставляющие услуги, в целях определения мер по поэтапному повышению уровня доступности для инвалидов находящихся в эксплуатации объектов, проектная документация которых не содержит мероприятий по доступности зданий и сооружений для инвалидов и других групп населения с ограниченными возможностями передвижения и предоставляемых услуг, проводят обследование данных объектов и предоставляемых услуг, по результатам которого составляется паспорт доступности для инвалидов объекта и услуг (далее соответственно - обследование и паспортизация, Паспорт доступности).</w:t>
      </w:r>
    </w:p>
    <w:p w14:paraId="68615218">
      <w:pPr>
        <w:widowControl w:val="0"/>
        <w:spacing w:line="360" w:lineRule="auto"/>
        <w:ind w:right="-20" w:firstLine="720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7. Паспорт доступности содержит следующие разделы:</w:t>
      </w:r>
    </w:p>
    <w:p w14:paraId="789760AC">
      <w:pPr>
        <w:widowControl w:val="0"/>
        <w:spacing w:line="360" w:lineRule="auto"/>
        <w:ind w:right="-20" w:firstLine="720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1) краткая характеристика объекта и предоставляемых на нем услуг;</w:t>
      </w:r>
    </w:p>
    <w:p w14:paraId="62648D49">
      <w:pPr>
        <w:widowControl w:val="0"/>
        <w:spacing w:line="360" w:lineRule="auto"/>
        <w:ind w:right="93" w:firstLine="720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2) оценка соответствия уровня доступности для инвалидов объекта и имеющихся недостатков в обеспечении условий его доступности для инвалидов;</w:t>
      </w:r>
    </w:p>
    <w:p w14:paraId="468D0B73">
      <w:pPr>
        <w:widowControl w:val="0"/>
        <w:spacing w:line="360" w:lineRule="auto"/>
        <w:ind w:right="92" w:firstLine="720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3)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инвалидов;</w:t>
      </w:r>
    </w:p>
    <w:p w14:paraId="2BFD2421">
      <w:pPr>
        <w:widowControl w:val="0"/>
        <w:spacing w:line="360" w:lineRule="auto"/>
        <w:ind w:right="93" w:firstLine="720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4) предлагаемые решения по срокам и объемам работ, необходимых для приведения объекта и предоставляемых на нем услуг в соответствие с требованиями законодательства Российской Федерации.</w:t>
      </w:r>
    </w:p>
    <w:p w14:paraId="295FC84D">
      <w:pPr>
        <w:widowControl w:val="0"/>
        <w:spacing w:line="360" w:lineRule="auto"/>
        <w:ind w:right="125" w:firstLine="720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8. Для проведения обследования и паспортизации распорядительным актом органа или организации создается комиссия по проведению обследования и паспортизации объекта и предоставляемых на нем услуг (далее - Комиссия), утверждаются ее состав, план-график проведения обследования и паспортизации, а также организуется работа Комиссии.</w:t>
      </w:r>
    </w:p>
    <w:p w14:paraId="5A94024B">
      <w:pPr>
        <w:widowControl w:val="0"/>
        <w:spacing w:line="360" w:lineRule="auto"/>
        <w:ind w:right="125" w:firstLine="720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9. В состав Комиссии включаются (по согласованию) представители общественных объединений инвалидов, представляющих интересы соответствующей целевой группы инвалидов и осуществляющих свою деятельность на территории муниципального образования, где расположен объект, на котором планируется проведение обследования и паспортизации.</w:t>
      </w:r>
    </w:p>
    <w:p w14:paraId="7B28ECA8">
      <w:pPr>
        <w:widowControl w:val="0"/>
        <w:spacing w:line="360" w:lineRule="auto"/>
        <w:ind w:right="125" w:firstLine="720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7285990</wp:posOffset>
                </wp:positionH>
                <wp:positionV relativeFrom="paragraph">
                  <wp:posOffset>751205</wp:posOffset>
                </wp:positionV>
                <wp:extent cx="0" cy="9525"/>
                <wp:effectExtent l="0" t="0" r="0" b="0"/>
                <wp:wrapNone/>
                <wp:docPr id="34" name="drawingObject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525">
                              <a:moveTo>
                                <a:pt x="0" y="952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3" cap="flat">
                          <a:solidFill>
                            <a:srgbClr val="0000ED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4" o:spid="_x0000_s1026" o:spt="100" style="position:absolute;left:0pt;margin-left:573.7pt;margin-top:59.15pt;height:0.75pt;width:0pt;mso-position-horizontal-relative:page;z-index:-251651072;mso-width-relative:page;mso-height-relative:page;" filled="f" stroked="t" coordsize="1,9525" o:allowincell="f" o:gfxdata="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AHxJkfYAAAA&#10;DQEAAA8AAAAAAAAAAQAgAAAAIgAAAGRycy9kb3ducmV2LnhtbFBLAQIUABQAAAAIAIdO4kCQEV00&#10;HQIAAK4EAAAOAAAAAAAAAAEAIAAAACcBAABkcnMvZTJvRG9jLnhtbFBLBQYAAAAABgAGAFkBAAC2&#10;BQAAAAA=&#10;" path="m0,9525l0,0e">
                <v:fill on="f" focussize="0,0"/>
                <v:stroke weight="0.0246456692913386pt" color="#0000ED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7282815</wp:posOffset>
                </wp:positionH>
                <wp:positionV relativeFrom="paragraph">
                  <wp:posOffset>1208405</wp:posOffset>
                </wp:positionV>
                <wp:extent cx="0" cy="9525"/>
                <wp:effectExtent l="0" t="0" r="0" b="0"/>
                <wp:wrapNone/>
                <wp:docPr id="35" name="drawingObject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525">
                              <a:moveTo>
                                <a:pt x="0" y="952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994" cap="flat">
                          <a:solidFill>
                            <a:srgbClr val="0000ED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5" o:spid="_x0000_s1026" o:spt="100" style="position:absolute;left:0pt;margin-left:573.45pt;margin-top:95.15pt;height:0.75pt;width:0pt;mso-position-horizontal-relative:page;z-index:-251648000;mso-width-relative:page;mso-height-relative:page;" filled="f" stroked="t" coordsize="1,9525" o:allowincell="f" o:gfxdata="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phuhr&#10;2QAAAA0BAAAPAAAAAAAAAAEAIAAAACIAAABkcnMvZG93bnJldi54bWxQSwECFAAUAAAACACHTuJA&#10;wbhSECACAACvBAAADgAAAAAAAAABACAAAAAoAQAAZHJzL2Uyb0RvYy54bWxQSwUGAAAAAAYABgBZ&#10;AQAAugUAAAAA&#10;" path="m0,9525l0,0e">
                <v:fill on="f" focussize="0,0"/>
                <v:stroke weight="0.550708661417323pt" color="#0000ED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Arial" w:cs="Times New Roman"/>
          <w:sz w:val="28"/>
          <w:szCs w:val="28"/>
        </w:rPr>
        <w:t>10. Оценка соответствия уровня обеспечения доступности для инвалидов объектов и предоставляемых услуг, ожидаемые результаты повышения значений уровня обеспечения доступности для инвалидов объектов и предоставляемых услуг, перечень мероприятий, реализуемых для достижения запланированных значений доступности для инвалидов объектов и услуг, и сроки их реализации определяются в соответствии с Правилами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деятельности, утвержденными постановлением Правительства Российской Федерации от 17 июня 2015 г. № 599 "О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деятельности" (далее - Постановление от 17 июня 2015 г. № 599).</w:t>
      </w:r>
    </w:p>
    <w:p w14:paraId="3C2D8B77">
      <w:pPr>
        <w:widowControl w:val="0"/>
        <w:spacing w:line="360" w:lineRule="auto"/>
        <w:ind w:right="145" w:firstLine="720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page">
              <wp:posOffset>2371725</wp:posOffset>
            </wp:positionH>
            <wp:positionV relativeFrom="paragraph">
              <wp:posOffset>311150</wp:posOffset>
            </wp:positionV>
            <wp:extent cx="104775" cy="219075"/>
            <wp:effectExtent l="0" t="0" r="0" b="0"/>
            <wp:wrapNone/>
            <wp:docPr id="36" name="drawingObject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drawingObject3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Arial" w:cs="Times New Roman"/>
          <w:sz w:val="28"/>
          <w:szCs w:val="28"/>
        </w:rPr>
        <w:t>11. По результатам обследования объекта и предоставляемых на нем услуг Комиссией для включения в Паспорт доступности разрабатываются (с учетом положений об обеспечении "разумного приспособления" Конвенции о правах инвалидов от 13 декабря 2006 г.</w:t>
      </w:r>
      <w:r>
        <w:rPr>
          <w:rStyle w:val="4"/>
          <w:rFonts w:ascii="Times New Roman" w:hAnsi="Times New Roman" w:eastAsia="Arial" w:cs="Times New Roman"/>
          <w:sz w:val="28"/>
          <w:szCs w:val="28"/>
        </w:rPr>
        <w:footnoteReference w:id="5"/>
      </w:r>
      <w:r>
        <w:rPr>
          <w:rFonts w:ascii="Times New Roman" w:hAnsi="Times New Roman" w:eastAsia="Arial" w:cs="Times New Roman"/>
          <w:sz w:val="28"/>
          <w:szCs w:val="28"/>
        </w:rPr>
        <w:t>) предложения по принятию управленческих решений исходя из финансовых возможностей бюджетов бюджетной системы Российской Федерации, организаций, предусмотренных на цели повышения значений доступности для инвалидов объектов и услуг, в том числе:</w:t>
      </w:r>
    </w:p>
    <w:p w14:paraId="4AB890E7">
      <w:pPr>
        <w:widowControl w:val="0"/>
        <w:spacing w:line="360" w:lineRule="auto"/>
        <w:ind w:right="125" w:firstLine="720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1) по созданию (с учетом потребностей инвалидов) условий доступности существующего объекта и предоставляемых услуг в соответствии с частью четвертой статьи 15 Федерального закона от 24 ноября 1995 г. № 181-ФЗ "О социальной защите инвалидов в Российской Федерации" в случае невозможности полностью приспособить объект с учетом потребностей инвалидов до его реконструкции или капитального ремонта;</w:t>
      </w:r>
    </w:p>
    <w:p w14:paraId="259BDC70">
      <w:pPr>
        <w:widowControl w:val="0"/>
        <w:spacing w:line="360" w:lineRule="auto"/>
        <w:ind w:right="125" w:firstLine="720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2) по определению мероприятий, учитываемых в планах развития объекта, в сметах его капитального и текущего ремонта, реконструкции, модернизации, в графиках переоснащения объекта и закупки нового оборудования, в целях повышения уровня его доступности и условий для предоставления на нем услуг с учетом потребностей инвалидов;</w:t>
      </w:r>
    </w:p>
    <w:p w14:paraId="67648B74">
      <w:pPr>
        <w:widowControl w:val="0"/>
        <w:spacing w:line="360" w:lineRule="auto"/>
        <w:ind w:right="125" w:firstLine="720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3) по включению в технические задания на разработку проектно-сметной документации по проектированию, строительству, оснащению приспособлениями и оборудованием вновь вводимых в эксплуатацию объектов, на которых предоставляются услуги, условий, обеспечивающих их полное соответствие требованиям доступности объектов для инвалидов.</w:t>
      </w:r>
    </w:p>
    <w:bookmarkEnd w:id="3"/>
    <w:p w14:paraId="54038FD5">
      <w:pPr>
        <w:widowControl w:val="0"/>
        <w:spacing w:line="360" w:lineRule="auto"/>
        <w:ind w:right="125" w:firstLine="720"/>
        <w:jc w:val="both"/>
        <w:rPr>
          <w:rFonts w:ascii="Times New Roman" w:hAnsi="Times New Roman" w:eastAsia="Arial" w:cs="Times New Roman"/>
          <w:sz w:val="28"/>
          <w:szCs w:val="28"/>
        </w:rPr>
      </w:pPr>
      <w:bookmarkStart w:id="4" w:name="_page_96_0"/>
      <w:r>
        <w:rPr>
          <w:rFonts w:ascii="Times New Roman" w:hAnsi="Times New Roman" w:eastAsia="Arial" w:cs="Times New Roman"/>
          <w:sz w:val="28"/>
          <w:szCs w:val="28"/>
        </w:rPr>
        <w:t>12. Паспорт доступности организации, разработанный Комиссией, утверждается руководителем организации и представляется в течение 10 рабочих дней после утверждения в орган, осуществляющий функции и полномочия ее учредителя.</w:t>
      </w:r>
    </w:p>
    <w:p w14:paraId="27B1BEF7">
      <w:pPr>
        <w:widowControl w:val="0"/>
        <w:spacing w:line="360" w:lineRule="auto"/>
        <w:ind w:right="-20" w:firstLine="720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13. Паспорт доступности органа утверждается руководителем органа.</w:t>
      </w:r>
    </w:p>
    <w:p w14:paraId="68F7C260">
      <w:pPr>
        <w:widowControl w:val="0"/>
        <w:spacing w:line="360" w:lineRule="auto"/>
        <w:ind w:right="125" w:firstLine="720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14. В случае предоставления услуги в арендуемом помещении (здании) в состав Комиссии включается представитель собственника арендуемого помещения (здания), а в предложениях по повышению уровня доступности объекта включаются рекомендации и учитываются его предложения, которые следуют из обязанности собственника обеспечивать условия доступности для инвалидов объектов и услуг в соответствии с частью четвертой статьи 15 Федерального закона от 24 ноября 1995 г. № 181-ФЗ "О социальной защите инвалидов в Российской Федерации".</w:t>
      </w:r>
    </w:p>
    <w:p w14:paraId="03E8C302">
      <w:pPr>
        <w:widowControl w:val="0"/>
        <w:spacing w:line="360" w:lineRule="auto"/>
        <w:ind w:right="125" w:firstLine="720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15. Органы и организации, предоставляющие услуги, на основании  результатов обследования объектов и предоставляемых услуг и выявленных при этом недостатков и несоответствий, а также на основании представленных паспортов доступности разрабатывают и утверждают планы мероприятий по повышению значений показателей доступности для инвалидов объектов и услуг в соответствии с Постановлением от 17 июня 2015 г. № 599.</w:t>
      </w:r>
    </w:p>
    <w:p w14:paraId="138DC6F2">
      <w:pPr>
        <w:widowControl w:val="0"/>
        <w:spacing w:line="360" w:lineRule="auto"/>
        <w:ind w:right="125" w:firstLine="720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16. Паспорт доступности может быть объединен с планом мероприятий по повышению значений показателей доступности для инвалидов объектов и услуг, разработанными в соответствии с Постановлением от 17 июня 2015 г. № 599, и разработан в составе одного документа.</w:t>
      </w:r>
      <w:bookmarkEnd w:id="4"/>
    </w:p>
    <w:sectPr>
      <w:footerReference r:id="rId5" w:type="default"/>
      <w:pgSz w:w="11918" w:h="16857"/>
      <w:pgMar w:top="1440" w:right="567" w:bottom="1440" w:left="1134" w:header="0" w:footer="283" w:gutter="0"/>
      <w:cols w:space="708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3B71A">
    <w:pPr>
      <w:pStyle w:val="7"/>
      <w:jc w:val="both"/>
      <w:rPr>
        <w:rFonts w:ascii="Times New Roman" w:hAnsi="Times New Roman" w:cs="Times New Roman"/>
        <w:sz w:val="20"/>
        <w:szCs w:val="20"/>
      </w:rPr>
    </w:pPr>
  </w:p>
  <w:p w14:paraId="30F12448">
    <w:pPr>
      <w:pStyle w:val="7"/>
      <w:jc w:val="both"/>
    </w:pPr>
    <w:r>
      <w:rPr>
        <w:rFonts w:ascii="Times New Roman" w:hAnsi="Times New Roman" w:cs="Times New Roman"/>
        <w:sz w:val="20"/>
        <w:szCs w:val="20"/>
      </w:rPr>
      <w:t>Приказ Минпросвещения России от 31.03.2025 № 253 «Об утверждении Порядка обеспечения условий доступности для инвалидов объектов и предоставляемых услуг в сфере общего, среднего профессионального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>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организации отдыха и оздоровления детей, а также оказания им при этом необходимой помощи»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2">
    <w:p>
      <w:pPr>
        <w:spacing w:line="259" w:lineRule="auto"/>
      </w:pPr>
      <w:r>
        <w:separator/>
      </w:r>
    </w:p>
  </w:footnote>
  <w:footnote w:type="continuationSeparator" w:id="13">
    <w:p>
      <w:pPr>
        <w:spacing w:line="259" w:lineRule="auto"/>
      </w:pPr>
      <w:r>
        <w:continuationSeparator/>
      </w:r>
    </w:p>
  </w:footnote>
  <w:footnote w:id="0">
    <w:p w14:paraId="058BFDA7">
      <w:pPr>
        <w:pStyle w:val="5"/>
        <w:ind w:firstLine="720"/>
        <w:jc w:val="both"/>
        <w:rPr>
          <w:rFonts w:ascii="Times New Roman" w:hAnsi="Times New Roman" w:cs="Times New Roman"/>
        </w:rPr>
      </w:pPr>
      <w:r>
        <w:rPr>
          <w:rStyle w:val="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Пункт 7 части первой статьи 15 Федерального закона от 24 ноября 1995 г. № 181-ФЗ "О социальной защите инвалидов в Российской Федерации".</w:t>
      </w:r>
    </w:p>
  </w:footnote>
  <w:footnote w:id="1">
    <w:p w14:paraId="264CE9E5">
      <w:pPr>
        <w:pStyle w:val="5"/>
        <w:ind w:firstLine="720"/>
        <w:jc w:val="both"/>
        <w:rPr>
          <w:rFonts w:ascii="Times New Roman" w:hAnsi="Times New Roman" w:cs="Times New Roman"/>
        </w:rPr>
      </w:pPr>
      <w:r>
        <w:rPr>
          <w:rStyle w:val="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Зарегистрирован Министерством юстиции Российской Федерации 31 августа 2020 г., регистрационный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№ 59599, с изменениями, внесенными приказами Министерства просвещения Российской Федерации от 1 декабря 2022 г. № 1048 (зарегистрирован Министерством юстиции Российской Федерации 12 января 2023 г., регистрационный № 71978) и от 25 октября 2023 г. № 783 (зарегистрирован Министерством юстиции Российской Федерации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23 ноября 2023 г., регистрационный № 76080), и действует до 1 сентября 2026 года.</w:t>
      </w:r>
    </w:p>
  </w:footnote>
  <w:footnote w:id="2">
    <w:p w14:paraId="4BDE92CE">
      <w:pPr>
        <w:pStyle w:val="5"/>
        <w:ind w:firstLine="720"/>
        <w:jc w:val="both"/>
        <w:rPr>
          <w:rFonts w:ascii="Times New Roman" w:hAnsi="Times New Roman" w:cs="Times New Roman"/>
        </w:rPr>
      </w:pPr>
      <w:r>
        <w:rPr>
          <w:rStyle w:val="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Зарегистрирован Министерством юстиции Российской Федерации 20 апреля 2021 г., регистрационный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№ 63180, с изменениями, внесенными приказами Министерства просвещения Российской Федерации от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11 февраля 2022 г. № 69 (зарегистрирован Министерством юстиции Российской Федерации 22 марта 2022 г., регистрационный № 67817), от 7 октября 2022 г. № 888 (зарегистрирован Министерством юстиции Российской Федерации 10 ноября 2022 г., регистрационный № 70899), от 5 декабря 2022 г. № 1063 (зарегистрирован Министерством юстиции Российской Федерации 15 февраля 2023 г., регистрационный № 72372), от 3 августа 2023 г. № 581 (зарегистрирован Министерством юстиции Российской Федерации 31 августа 2023 г., регистрационный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№ 75023) и от 29 сентября 2023 г. № 731 (зарегистрирован Министерством юстиции Российской Федерации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1 ноября 2023 г., регистрационный № 75796), и действует до 1 сентября 2027 года</w:t>
      </w:r>
    </w:p>
  </w:footnote>
  <w:footnote w:id="3">
    <w:p w14:paraId="16FC27E2">
      <w:pPr>
        <w:pStyle w:val="5"/>
        <w:ind w:firstLine="720"/>
        <w:jc w:val="both"/>
        <w:rPr>
          <w:rFonts w:ascii="Times New Roman" w:hAnsi="Times New Roman" w:cs="Times New Roman"/>
        </w:rPr>
      </w:pPr>
      <w:r>
        <w:rPr>
          <w:rStyle w:val="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Зарегистрирован Министерством юстиции Российской Федерации 26 сентября 2022 г., регистрационный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№ 70226, и действует по 28 февраля 2029 года</w:t>
      </w:r>
    </w:p>
  </w:footnote>
  <w:footnote w:id="4">
    <w:p w14:paraId="0A9EF2D9">
      <w:pPr>
        <w:pStyle w:val="5"/>
        <w:ind w:firstLine="720"/>
        <w:jc w:val="both"/>
        <w:rPr>
          <w:rFonts w:ascii="Times New Roman" w:hAnsi="Times New Roman" w:cs="Times New Roman"/>
        </w:rPr>
      </w:pPr>
      <w:r>
        <w:rPr>
          <w:rStyle w:val="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Зарегистрирован Министерством юстиции Российской Федерации 21 сентября 2022 г., регистрационный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№</w:t>
      </w:r>
      <w:r>
        <w:t xml:space="preserve"> </w:t>
      </w:r>
      <w:r>
        <w:rPr>
          <w:rFonts w:ascii="Times New Roman" w:hAnsi="Times New Roman" w:cs="Times New Roman"/>
        </w:rPr>
        <w:t xml:space="preserve">70167, с изменением, внесенным приказом Министерства просвещения Российской Федерации от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20 декабря 2022 г. № 1152 (зарегистрирован Министерством юстиции Российской Федерации 30 декабря 2022 г., регистрационный № 71931) и действует до 1 марта 2029 года.</w:t>
      </w:r>
    </w:p>
  </w:footnote>
  <w:footnote w:id="5">
    <w:p w14:paraId="060C0AF7">
      <w:pPr>
        <w:pStyle w:val="5"/>
        <w:ind w:firstLine="720"/>
        <w:jc w:val="both"/>
        <w:rPr>
          <w:rFonts w:ascii="Times New Roman" w:hAnsi="Times New Roman" w:cs="Times New Roman"/>
        </w:rPr>
      </w:pPr>
      <w:r>
        <w:rPr>
          <w:rStyle w:val="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Ратифицирована Федеральным законом от 3 мая 2012 г. № 46-ФЗ "О ратификации Конвенции о правах инвалидов", вступила в силу для Российской Федерации 25 октября 2012 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12"/>
    <w:footnote w:id="13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0E5C98"/>
    <w:rsid w:val="000E5C98"/>
    <w:rsid w:val="001733B6"/>
    <w:rsid w:val="00203298"/>
    <w:rsid w:val="002611A2"/>
    <w:rsid w:val="005A43D2"/>
    <w:rsid w:val="00684821"/>
    <w:rsid w:val="1671224B"/>
    <w:rsid w:val="6A25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259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uiPriority w:val="99"/>
    <w:rPr>
      <w:vertAlign w:val="superscript"/>
    </w:rPr>
  </w:style>
  <w:style w:type="paragraph" w:styleId="5">
    <w:name w:val="footnote text"/>
    <w:basedOn w:val="1"/>
    <w:link w:val="11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6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7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table" w:styleId="8">
    <w:name w:val="Table Grid"/>
    <w:basedOn w:val="3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Верхний колонтитул Знак"/>
    <w:basedOn w:val="2"/>
    <w:link w:val="6"/>
    <w:uiPriority w:val="99"/>
  </w:style>
  <w:style w:type="character" w:customStyle="1" w:styleId="10">
    <w:name w:val="Нижний колонтитул Знак"/>
    <w:basedOn w:val="2"/>
    <w:link w:val="7"/>
    <w:qFormat/>
    <w:uiPriority w:val="99"/>
  </w:style>
  <w:style w:type="character" w:customStyle="1" w:styleId="11">
    <w:name w:val="Текст сноски Знак"/>
    <w:basedOn w:val="2"/>
    <w:link w:val="5"/>
    <w:semiHidden/>
    <w:qFormat/>
    <w:uiPriority w:val="99"/>
    <w:rPr>
      <w:sz w:val="20"/>
      <w:szCs w:val="20"/>
    </w:rPr>
  </w:style>
  <w:style w:type="paragraph" w:customStyle="1" w:styleId="12">
    <w:name w:val="ConsPlusNormal1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D9725C-B89C-4F16-AD93-8B215BB594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2190</Words>
  <Characters>12484</Characters>
  <Lines>104</Lines>
  <Paragraphs>29</Paragraphs>
  <TotalTime>0</TotalTime>
  <ScaleCrop>false</ScaleCrop>
  <LinksUpToDate>false</LinksUpToDate>
  <CharactersWithSpaces>14645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2025-11-28T07:53:00Z</dcterms:created>
  <dcterms:modified xsi:type="dcterms:W3CDTF">2025-12-05T09:28:50Z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2280DE41FF5946D0A8B1742BADD0A3D5_12</vt:lpwstr>
  </property>
</Properties>
</file>