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C39A0">
      <w:pPr>
        <w:pStyle w:val="18"/>
        <w:jc w:val="right"/>
        <w:outlineLvl w:val="0"/>
        <w:rPr>
          <w:sz w:val="28"/>
          <w:szCs w:val="28"/>
        </w:rPr>
      </w:pPr>
      <w:r>
        <w:rPr>
          <w:sz w:val="28"/>
          <w:szCs w:val="28"/>
        </w:rPr>
        <w:t>Зарегистрировано в Минюсте России 7 мая 2025 г. № 82086</w:t>
      </w:r>
    </w:p>
    <w:p w14:paraId="49FB7868">
      <w:pPr>
        <w:pStyle w:val="18"/>
        <w:pBdr>
          <w:bottom w:val="single" w:color="auto" w:sz="6" w:space="0"/>
        </w:pBdr>
        <w:jc w:val="both"/>
        <w:rPr>
          <w:sz w:val="28"/>
          <w:szCs w:val="28"/>
        </w:rPr>
      </w:pPr>
    </w:p>
    <w:p w14:paraId="4F46F9FC">
      <w:pPr>
        <w:pStyle w:val="18"/>
        <w:rPr>
          <w:sz w:val="28"/>
          <w:szCs w:val="28"/>
        </w:rPr>
      </w:pPr>
    </w:p>
    <w:p w14:paraId="70F107F8">
      <w:pPr>
        <w:pStyle w:val="20"/>
        <w:jc w:val="center"/>
        <w:rPr>
          <w:rFonts w:ascii="Times New Roman" w:hAnsi="Times New Roman" w:cs="Times New Roman"/>
          <w:sz w:val="28"/>
          <w:szCs w:val="28"/>
        </w:rPr>
      </w:pPr>
      <w:r>
        <w:rPr>
          <w:rFonts w:ascii="Times New Roman" w:hAnsi="Times New Roman" w:cs="Times New Roman"/>
          <w:sz w:val="28"/>
          <w:szCs w:val="28"/>
        </w:rPr>
        <w:t>МИНИСТЕРСТВО НАУКИ И ВЫСШ</w:t>
      </w:r>
      <w:bookmarkStart w:id="7" w:name="_GoBack"/>
      <w:bookmarkEnd w:id="7"/>
      <w:r>
        <w:rPr>
          <w:rFonts w:ascii="Times New Roman" w:hAnsi="Times New Roman" w:cs="Times New Roman"/>
          <w:sz w:val="28"/>
          <w:szCs w:val="28"/>
        </w:rPr>
        <w:t>ЕГО ОБРАЗОВАНИЯ</w:t>
      </w:r>
    </w:p>
    <w:p w14:paraId="69CBA39C">
      <w:pPr>
        <w:pStyle w:val="20"/>
        <w:jc w:val="center"/>
        <w:rPr>
          <w:rFonts w:ascii="Times New Roman" w:hAnsi="Times New Roman" w:cs="Times New Roman"/>
          <w:sz w:val="28"/>
          <w:szCs w:val="28"/>
        </w:rPr>
      </w:pPr>
      <w:r>
        <w:rPr>
          <w:rFonts w:ascii="Times New Roman" w:hAnsi="Times New Roman" w:cs="Times New Roman"/>
          <w:sz w:val="28"/>
          <w:szCs w:val="28"/>
        </w:rPr>
        <w:t>РОССИЙСКОЙ ФЕДЕРАЦИИ</w:t>
      </w:r>
    </w:p>
    <w:p w14:paraId="425AC7DA">
      <w:pPr>
        <w:pStyle w:val="20"/>
        <w:jc w:val="center"/>
        <w:rPr>
          <w:rFonts w:ascii="Times New Roman" w:hAnsi="Times New Roman" w:cs="Times New Roman"/>
          <w:sz w:val="28"/>
          <w:szCs w:val="28"/>
        </w:rPr>
      </w:pPr>
      <w:r>
        <w:rPr>
          <w:rFonts w:ascii="Times New Roman" w:hAnsi="Times New Roman" w:cs="Times New Roman"/>
          <w:sz w:val="28"/>
          <w:szCs w:val="28"/>
        </w:rPr>
        <w:t>(МИНОБРНАУКИ РОССИИ)</w:t>
      </w:r>
    </w:p>
    <w:p w14:paraId="445094E1">
      <w:pPr>
        <w:pStyle w:val="20"/>
        <w:jc w:val="center"/>
        <w:rPr>
          <w:rFonts w:ascii="Times New Roman" w:hAnsi="Times New Roman" w:cs="Times New Roman"/>
          <w:sz w:val="28"/>
          <w:szCs w:val="28"/>
        </w:rPr>
      </w:pPr>
    </w:p>
    <w:p w14:paraId="626C4338">
      <w:pPr>
        <w:pStyle w:val="20"/>
        <w:jc w:val="center"/>
        <w:rPr>
          <w:rFonts w:ascii="Times New Roman" w:hAnsi="Times New Roman" w:cs="Times New Roman"/>
          <w:sz w:val="28"/>
          <w:szCs w:val="28"/>
        </w:rPr>
      </w:pPr>
      <w:r>
        <w:rPr>
          <w:rFonts w:ascii="Times New Roman" w:hAnsi="Times New Roman" w:cs="Times New Roman"/>
          <w:sz w:val="28"/>
          <w:szCs w:val="28"/>
        </w:rPr>
        <w:t>П Р И К А З</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1"/>
        <w:gridCol w:w="5212"/>
      </w:tblGrid>
      <w:tr w14:paraId="4B64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1" w:type="dxa"/>
          </w:tcPr>
          <w:p w14:paraId="5F82D5B0">
            <w:pPr>
              <w:pStyle w:val="20"/>
              <w:rPr>
                <w:rFonts w:ascii="Times New Roman" w:hAnsi="Times New Roman" w:cs="Times New Roman"/>
                <w:sz w:val="28"/>
                <w:szCs w:val="28"/>
              </w:rPr>
            </w:pPr>
            <w:r>
              <w:rPr>
                <w:rFonts w:ascii="Times New Roman" w:hAnsi="Times New Roman" w:cs="Times New Roman"/>
                <w:sz w:val="28"/>
                <w:szCs w:val="28"/>
              </w:rPr>
              <w:t>4 апреля 2025 г.</w:t>
            </w:r>
          </w:p>
        </w:tc>
        <w:tc>
          <w:tcPr>
            <w:tcW w:w="5212" w:type="dxa"/>
          </w:tcPr>
          <w:p w14:paraId="394C9E60">
            <w:pPr>
              <w:pStyle w:val="20"/>
              <w:jc w:val="right"/>
              <w:rPr>
                <w:rFonts w:ascii="Times New Roman" w:hAnsi="Times New Roman" w:cs="Times New Roman"/>
                <w:sz w:val="28"/>
                <w:szCs w:val="28"/>
              </w:rPr>
            </w:pPr>
            <w:r>
              <w:rPr>
                <w:rFonts w:ascii="Times New Roman" w:hAnsi="Times New Roman" w:cs="Times New Roman"/>
                <w:sz w:val="28"/>
                <w:szCs w:val="28"/>
              </w:rPr>
              <w:t>№ 303</w:t>
            </w:r>
          </w:p>
        </w:tc>
      </w:tr>
    </w:tbl>
    <w:p w14:paraId="353A646A">
      <w:pPr>
        <w:pStyle w:val="20"/>
        <w:jc w:val="center"/>
        <w:rPr>
          <w:rFonts w:ascii="Times New Roman" w:hAnsi="Times New Roman" w:cs="Times New Roman"/>
          <w:sz w:val="28"/>
          <w:szCs w:val="28"/>
        </w:rPr>
      </w:pPr>
    </w:p>
    <w:p w14:paraId="6E5BA01F">
      <w:pPr>
        <w:pStyle w:val="20"/>
        <w:jc w:val="center"/>
        <w:rPr>
          <w:rFonts w:ascii="Times New Roman" w:hAnsi="Times New Roman" w:cs="Times New Roman"/>
          <w:sz w:val="28"/>
          <w:szCs w:val="28"/>
        </w:rPr>
      </w:pPr>
      <w:r>
        <w:rPr>
          <w:rFonts w:ascii="Times New Roman" w:hAnsi="Times New Roman" w:cs="Times New Roman"/>
          <w:sz w:val="28"/>
          <w:szCs w:val="28"/>
        </w:rPr>
        <w:t>Москва</w:t>
      </w:r>
    </w:p>
    <w:p w14:paraId="4C1AAADD">
      <w:pPr>
        <w:pStyle w:val="20"/>
        <w:jc w:val="center"/>
        <w:rPr>
          <w:rFonts w:ascii="Times New Roman" w:hAnsi="Times New Roman" w:cs="Times New Roman"/>
          <w:sz w:val="28"/>
          <w:szCs w:val="28"/>
        </w:rPr>
      </w:pPr>
    </w:p>
    <w:p w14:paraId="15C69B20">
      <w:pPr>
        <w:pStyle w:val="20"/>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порядка и оснований предоставления </w:t>
      </w:r>
      <w:bookmarkStart w:id="0" w:name="_Hlk215065821"/>
      <w:r>
        <w:rPr>
          <w:rFonts w:ascii="Times New Roman" w:hAnsi="Times New Roman" w:cs="Times New Roman"/>
          <w:sz w:val="28"/>
          <w:szCs w:val="28"/>
        </w:rPr>
        <w:t>академического отпуска обучающимся</w:t>
      </w:r>
      <w:bookmarkEnd w:id="0"/>
    </w:p>
    <w:p w14:paraId="7F39D6F0">
      <w:pPr>
        <w:pStyle w:val="18"/>
        <w:jc w:val="both"/>
        <w:rPr>
          <w:sz w:val="28"/>
          <w:szCs w:val="28"/>
        </w:rPr>
      </w:pPr>
    </w:p>
    <w:p w14:paraId="68F7BDDB">
      <w:pPr>
        <w:pStyle w:val="18"/>
        <w:spacing w:line="360" w:lineRule="auto"/>
        <w:ind w:firstLine="540"/>
        <w:jc w:val="both"/>
        <w:rPr>
          <w:sz w:val="28"/>
          <w:szCs w:val="28"/>
        </w:rPr>
      </w:pPr>
      <w:r>
        <w:rPr>
          <w:sz w:val="28"/>
          <w:szCs w:val="28"/>
        </w:rPr>
        <w:t xml:space="preserve">В соответствии с пунктом 12 части 1 статьи 34 Федерального закона </w:t>
      </w:r>
      <w:r>
        <w:rPr>
          <w:sz w:val="28"/>
          <w:szCs w:val="28"/>
        </w:rPr>
        <w:br w:type="textWrapping"/>
      </w:r>
      <w:r>
        <w:rPr>
          <w:sz w:val="28"/>
          <w:szCs w:val="28"/>
        </w:rPr>
        <w:t>от 29 декабря 2012 г. № 273-ФЗ "Об образовании в Российской Федерации" и подпунктом 4.2.18 пункта 4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 682, приказываю:</w:t>
      </w:r>
    </w:p>
    <w:p w14:paraId="033B6064">
      <w:pPr>
        <w:pStyle w:val="18"/>
        <w:spacing w:line="360" w:lineRule="auto"/>
        <w:ind w:firstLine="540"/>
        <w:jc w:val="both"/>
        <w:rPr>
          <w:sz w:val="28"/>
          <w:szCs w:val="28"/>
        </w:rPr>
      </w:pPr>
      <w:r>
        <w:rPr>
          <w:sz w:val="28"/>
          <w:szCs w:val="28"/>
        </w:rPr>
        <w:t>1. Утвердить по согласованию с Министерством просвещения Российской Федерации прилагаемые Порядок и основания предоставления академического отпуска обучающимся.</w:t>
      </w:r>
    </w:p>
    <w:p w14:paraId="17ED8A0A">
      <w:pPr>
        <w:pStyle w:val="18"/>
        <w:spacing w:line="360" w:lineRule="auto"/>
        <w:ind w:firstLine="540"/>
        <w:jc w:val="both"/>
        <w:rPr>
          <w:sz w:val="28"/>
          <w:szCs w:val="28"/>
        </w:rPr>
      </w:pPr>
      <w:r>
        <w:rPr>
          <w:sz w:val="28"/>
          <w:szCs w:val="28"/>
        </w:rPr>
        <w:t>2. Признать утратившим силу приказ Министерства образования и науки Российской Федерации от 13 июня 2013 г. № 455 "Об утверждении Порядка и оснований предоставления академического отпуска обучающимся" (зарегистрирован Министерством юстиции Российской Федерации 28 июня 2013 г., регистрационный № 28912).</w:t>
      </w:r>
    </w:p>
    <w:p w14:paraId="0ED54D79">
      <w:pPr>
        <w:pStyle w:val="18"/>
        <w:spacing w:line="360" w:lineRule="auto"/>
        <w:ind w:firstLine="540"/>
        <w:jc w:val="both"/>
        <w:rPr>
          <w:sz w:val="28"/>
          <w:szCs w:val="28"/>
        </w:rPr>
      </w:pPr>
      <w:r>
        <w:rPr>
          <w:sz w:val="28"/>
          <w:szCs w:val="28"/>
        </w:rPr>
        <w:t xml:space="preserve">3. Настоящий приказ вступает в силу с 1 сентября 2025 года и действует </w:t>
      </w:r>
      <w:r>
        <w:rPr>
          <w:sz w:val="28"/>
          <w:szCs w:val="28"/>
        </w:rPr>
        <w:br w:type="textWrapping"/>
      </w:r>
      <w:r>
        <w:rPr>
          <w:sz w:val="28"/>
          <w:szCs w:val="28"/>
        </w:rPr>
        <w:t>до 1 сентября 2031 года.</w:t>
      </w:r>
    </w:p>
    <w:p w14:paraId="2809C90A">
      <w:pPr>
        <w:pStyle w:val="18"/>
        <w:spacing w:line="360" w:lineRule="auto"/>
        <w:jc w:val="both"/>
        <w:rPr>
          <w:sz w:val="28"/>
          <w:szCs w:val="28"/>
        </w:rPr>
      </w:pPr>
    </w:p>
    <w:p w14:paraId="1A72534F">
      <w:pPr>
        <w:pStyle w:val="18"/>
        <w:jc w:val="right"/>
        <w:rPr>
          <w:sz w:val="28"/>
          <w:szCs w:val="28"/>
        </w:rPr>
      </w:pPr>
      <w:r>
        <w:rPr>
          <w:sz w:val="28"/>
          <w:szCs w:val="28"/>
        </w:rPr>
        <w:t>Министр</w:t>
      </w:r>
    </w:p>
    <w:p w14:paraId="2EF2CCE6">
      <w:pPr>
        <w:pStyle w:val="18"/>
        <w:jc w:val="right"/>
        <w:rPr>
          <w:sz w:val="28"/>
          <w:szCs w:val="28"/>
        </w:rPr>
      </w:pPr>
      <w:r>
        <w:rPr>
          <w:sz w:val="28"/>
          <w:szCs w:val="28"/>
        </w:rPr>
        <w:t>В.Н. Фальков</w:t>
      </w:r>
    </w:p>
    <w:p w14:paraId="33AB6D2C">
      <w:pPr>
        <w:pStyle w:val="18"/>
        <w:spacing w:line="360" w:lineRule="auto"/>
        <w:jc w:val="both"/>
        <w:rPr>
          <w:sz w:val="28"/>
          <w:szCs w:val="28"/>
        </w:rPr>
      </w:pPr>
    </w:p>
    <w:p w14:paraId="3DD99ECA">
      <w:pPr>
        <w:pStyle w:val="18"/>
        <w:ind w:left="4395"/>
        <w:jc w:val="center"/>
        <w:outlineLvl w:val="0"/>
        <w:rPr>
          <w:sz w:val="28"/>
          <w:szCs w:val="28"/>
        </w:rPr>
      </w:pPr>
      <w:r>
        <w:rPr>
          <w:sz w:val="28"/>
          <w:szCs w:val="28"/>
        </w:rPr>
        <w:t>УТВЕРЖДЕНЫ</w:t>
      </w:r>
    </w:p>
    <w:p w14:paraId="0B2E178E">
      <w:pPr>
        <w:pStyle w:val="18"/>
        <w:ind w:left="4395"/>
        <w:jc w:val="center"/>
        <w:rPr>
          <w:sz w:val="28"/>
          <w:szCs w:val="28"/>
        </w:rPr>
      </w:pPr>
      <w:r>
        <w:rPr>
          <w:sz w:val="28"/>
          <w:szCs w:val="28"/>
        </w:rPr>
        <w:t>приказом Министерства науки и высшего образования Российской Федерации</w:t>
      </w:r>
    </w:p>
    <w:p w14:paraId="024A5192">
      <w:pPr>
        <w:pStyle w:val="18"/>
        <w:ind w:left="4395"/>
        <w:jc w:val="center"/>
        <w:rPr>
          <w:sz w:val="28"/>
          <w:szCs w:val="28"/>
        </w:rPr>
      </w:pPr>
      <w:r>
        <w:rPr>
          <w:sz w:val="28"/>
          <w:szCs w:val="28"/>
        </w:rPr>
        <w:t>от 4 апреля 2025 г. № 303</w:t>
      </w:r>
    </w:p>
    <w:p w14:paraId="7827FD3E">
      <w:pPr>
        <w:pStyle w:val="18"/>
        <w:jc w:val="both"/>
        <w:rPr>
          <w:sz w:val="28"/>
          <w:szCs w:val="28"/>
        </w:rPr>
      </w:pPr>
    </w:p>
    <w:p w14:paraId="5E2AB4C0">
      <w:pPr>
        <w:pStyle w:val="20"/>
        <w:jc w:val="center"/>
        <w:rPr>
          <w:rFonts w:ascii="Times New Roman" w:hAnsi="Times New Roman" w:cs="Times New Roman"/>
          <w:b w:val="0"/>
          <w:bCs/>
          <w:sz w:val="28"/>
          <w:szCs w:val="28"/>
        </w:rPr>
      </w:pPr>
      <w:bookmarkStart w:id="1" w:name="P31"/>
      <w:bookmarkEnd w:id="1"/>
      <w:r>
        <w:rPr>
          <w:rFonts w:ascii="Times New Roman" w:hAnsi="Times New Roman" w:cs="Times New Roman"/>
          <w:b w:val="0"/>
          <w:bCs/>
          <w:sz w:val="28"/>
          <w:szCs w:val="28"/>
        </w:rPr>
        <w:t>Порядок и основания предоставления академического отпуска обучающимся</w:t>
      </w:r>
    </w:p>
    <w:p w14:paraId="2764FFEB">
      <w:pPr>
        <w:pStyle w:val="18"/>
        <w:jc w:val="both"/>
        <w:rPr>
          <w:sz w:val="28"/>
          <w:szCs w:val="28"/>
        </w:rPr>
      </w:pPr>
    </w:p>
    <w:p w14:paraId="68BAAFDD">
      <w:pPr>
        <w:pStyle w:val="18"/>
        <w:spacing w:line="360" w:lineRule="auto"/>
        <w:ind w:firstLine="540"/>
        <w:jc w:val="both"/>
        <w:rPr>
          <w:sz w:val="28"/>
          <w:szCs w:val="28"/>
        </w:rPr>
      </w:pPr>
      <w:r>
        <w:rPr>
          <w:sz w:val="28"/>
          <w:szCs w:val="28"/>
        </w:rPr>
        <w:t>1. Академический отпуск предоставляется обучающимся по образовательным программам среднего профессионального или высшего образования (студентам (курсантам), аспирантам (адъюнктам), ординаторам и ассистентам-стажерам) (далее - обучающиеся) в связи с временной невозможностью освоения ими образовательной программы среднего профессионального или высшего образования (далее - образовательная программа) в организации, осуществляющей образовательную деятельность (далее - организация), в случае призыва на военную службу или заключения контракта о прохождении военной службы (далее - в связи с прохождением военной службы), по медицинским показаниям, а также в иных исключительных случаях, в том числе в связи со стихийными бедствиями, по семейным обстоятельствам.</w:t>
      </w:r>
    </w:p>
    <w:p w14:paraId="5CF994CA">
      <w:pPr>
        <w:pStyle w:val="18"/>
        <w:spacing w:line="360" w:lineRule="auto"/>
        <w:ind w:firstLine="540"/>
        <w:jc w:val="both"/>
        <w:rPr>
          <w:sz w:val="28"/>
          <w:szCs w:val="28"/>
        </w:rPr>
      </w:pPr>
      <w:bookmarkStart w:id="2" w:name="P35"/>
      <w:bookmarkEnd w:id="2"/>
      <w:r>
        <w:rPr>
          <w:sz w:val="28"/>
          <w:szCs w:val="28"/>
        </w:rPr>
        <w:t>2. Продолжительность академического отпуска единовременно не может превышать 12 календарных месяцев (за исключением академического отпуска в связи с прохождением военной службы или по медицинским показаниям, срок предоставления которого не может превышать 2 года).</w:t>
      </w:r>
    </w:p>
    <w:p w14:paraId="6DCDEB9D">
      <w:pPr>
        <w:pStyle w:val="18"/>
        <w:spacing w:line="360" w:lineRule="auto"/>
        <w:ind w:firstLine="540"/>
        <w:jc w:val="both"/>
        <w:rPr>
          <w:sz w:val="28"/>
          <w:szCs w:val="28"/>
        </w:rPr>
      </w:pPr>
      <w:r>
        <w:rPr>
          <w:sz w:val="28"/>
          <w:szCs w:val="28"/>
        </w:rPr>
        <w:t>Количество академических отпусков, предоставляемых обучающемуся в период обучения по соответствующей образовательной программе, не ограничено.</w:t>
      </w:r>
    </w:p>
    <w:p w14:paraId="0FD4C4E6">
      <w:pPr>
        <w:pStyle w:val="18"/>
        <w:spacing w:line="360" w:lineRule="auto"/>
        <w:ind w:firstLine="540"/>
        <w:jc w:val="both"/>
        <w:rPr>
          <w:sz w:val="28"/>
          <w:szCs w:val="28"/>
        </w:rPr>
      </w:pPr>
      <w:bookmarkStart w:id="3" w:name="P37"/>
      <w:bookmarkEnd w:id="3"/>
      <w:r>
        <w:rPr>
          <w:sz w:val="28"/>
          <w:szCs w:val="28"/>
        </w:rPr>
        <w:t xml:space="preserve">3. Основанием для принятия решения о предоставлении обучающемуся академического отпуска является личное заявление обучающегося на имя руководителя организации (далее - заявление), а также медицинское заключение, выданное медицинской организацией, входящей в государственную или </w:t>
      </w:r>
      <w:r>
        <w:rPr>
          <w:sz w:val="28"/>
          <w:szCs w:val="28"/>
        </w:rPr>
        <w:br w:type="textWrapping"/>
      </w:r>
      <w:r>
        <w:rPr>
          <w:sz w:val="28"/>
          <w:szCs w:val="28"/>
        </w:rPr>
        <w:br w:type="textWrapping"/>
      </w:r>
      <w:r>
        <w:rPr>
          <w:sz w:val="28"/>
          <w:szCs w:val="28"/>
        </w:rPr>
        <w:t>муниципальную систему здравоохранения</w:t>
      </w:r>
      <w:r>
        <w:rPr>
          <w:rStyle w:val="4"/>
          <w:sz w:val="28"/>
          <w:szCs w:val="28"/>
        </w:rPr>
        <w:footnoteReference w:id="0"/>
      </w:r>
      <w:r>
        <w:rPr>
          <w:sz w:val="28"/>
          <w:szCs w:val="28"/>
        </w:rPr>
        <w:t xml:space="preserve"> (для предоставления академического отпуска по медицинским показаниям), мобилизационное предписание, распоряжение или повестка военного комиссариата, содержащие время и место отправки к месту прохождения военной службы, копия контракта о прохождении военной службы в Вооруженных Силах Российской Федерации, заверенная в установленном законодательством Российской Федерации порядке (для предоставления академического отпуска в связи с прохождением военной службы), иные документы, подтверждающие основания предоставления академического отпуска (при наличии).</w:t>
      </w:r>
    </w:p>
    <w:p w14:paraId="54EED271">
      <w:pPr>
        <w:pStyle w:val="18"/>
        <w:spacing w:line="360" w:lineRule="auto"/>
        <w:ind w:firstLine="540"/>
        <w:jc w:val="both"/>
        <w:rPr>
          <w:sz w:val="28"/>
          <w:szCs w:val="28"/>
        </w:rPr>
      </w:pPr>
      <w:r>
        <w:rPr>
          <w:sz w:val="28"/>
          <w:szCs w:val="28"/>
        </w:rPr>
        <w:t>В случае, если обучающийся по объективным причинам (в частности, нахождение на военной службе, медицинские показания, обстоятельства непреодолимой силы) не может лично представить заявление и документы, предусмотренные абзацем первым настоящего пункта, такое заявление может быть подано законным представителем обучающегося, либо лицом по доверенности, выданной указанному лицу обучающимся, либо через операторов почтовой связи общего пользования заказным почтовым отправлением с уведомлением о вручении, а также иным доступным способом.</w:t>
      </w:r>
    </w:p>
    <w:p w14:paraId="690C1CA1">
      <w:pPr>
        <w:pStyle w:val="18"/>
        <w:spacing w:line="360" w:lineRule="auto"/>
        <w:ind w:firstLine="540"/>
        <w:jc w:val="both"/>
        <w:rPr>
          <w:sz w:val="28"/>
          <w:szCs w:val="28"/>
        </w:rPr>
      </w:pPr>
      <w:bookmarkStart w:id="4" w:name="P42"/>
      <w:bookmarkEnd w:id="4"/>
      <w:r>
        <w:rPr>
          <w:sz w:val="28"/>
          <w:szCs w:val="28"/>
        </w:rPr>
        <w:t>4. Решение о предоставлении академического отпуска в связи с прохождением военной службы или по медицинским показаниям принимается руководителем организации либо лицом, исполняющим обязанности руководителя организации, либо иным должностным лицом, уполномоченным руководителем или исполняющим обязанности руководителя организации.</w:t>
      </w:r>
    </w:p>
    <w:p w14:paraId="10B335B1">
      <w:pPr>
        <w:pStyle w:val="18"/>
        <w:spacing w:line="360" w:lineRule="auto"/>
        <w:ind w:firstLine="540"/>
        <w:jc w:val="both"/>
        <w:rPr>
          <w:sz w:val="28"/>
          <w:szCs w:val="28"/>
        </w:rPr>
      </w:pPr>
      <w:r>
        <w:rPr>
          <w:sz w:val="28"/>
          <w:szCs w:val="28"/>
        </w:rPr>
        <w:t>В иных исключительных случаях, а также в случаях, когда обучающийся не может представить документы, подтверждающие основания предоставления академического отпуска, решение о предоставлении академического отпуска принимается специально создаваемой организацией комиссией (далее - Комиссия).</w:t>
      </w:r>
    </w:p>
    <w:p w14:paraId="461F7BAD">
      <w:pPr>
        <w:pStyle w:val="18"/>
        <w:spacing w:line="360" w:lineRule="auto"/>
        <w:ind w:firstLine="540"/>
        <w:jc w:val="both"/>
        <w:rPr>
          <w:sz w:val="28"/>
          <w:szCs w:val="28"/>
        </w:rPr>
      </w:pPr>
      <w:r>
        <w:rPr>
          <w:sz w:val="28"/>
          <w:szCs w:val="28"/>
        </w:rPr>
        <w:t>Состав, полномочия и порядок деятельности Комиссии определяются организацией самостоятельно.</w:t>
      </w:r>
    </w:p>
    <w:p w14:paraId="40D8746A">
      <w:pPr>
        <w:pStyle w:val="18"/>
        <w:spacing w:line="360" w:lineRule="auto"/>
        <w:ind w:firstLine="540"/>
        <w:jc w:val="both"/>
        <w:rPr>
          <w:sz w:val="28"/>
          <w:szCs w:val="28"/>
        </w:rPr>
      </w:pPr>
      <w:bookmarkStart w:id="5" w:name="P45"/>
      <w:bookmarkEnd w:id="5"/>
      <w:r>
        <w:rPr>
          <w:sz w:val="28"/>
          <w:szCs w:val="28"/>
        </w:rPr>
        <w:t>5. Организация в течение 2 рабочих дней со дня поступления заявления направляет заявление (заявления) обучающегося (обучающихся) в Комиссию с прилагаемыми к нему (ним) документами (при наличии).</w:t>
      </w:r>
    </w:p>
    <w:p w14:paraId="4AF6D4CF">
      <w:pPr>
        <w:pStyle w:val="18"/>
        <w:spacing w:line="360" w:lineRule="auto"/>
        <w:ind w:firstLine="540"/>
        <w:jc w:val="both"/>
        <w:rPr>
          <w:sz w:val="28"/>
          <w:szCs w:val="28"/>
        </w:rPr>
      </w:pPr>
      <w:r>
        <w:rPr>
          <w:sz w:val="28"/>
          <w:szCs w:val="28"/>
        </w:rPr>
        <w:t>В результате рассмотрения заявления (заявлений), а также прилагаемых к нему (ним) документов (при наличии) Комиссией в срок не более 5 рабочих дней со дня поступления от организации заявления в соответствии с настоящим пунктом принимается одно из следующих решений:</w:t>
      </w:r>
    </w:p>
    <w:p w14:paraId="7A4EDBEB">
      <w:pPr>
        <w:pStyle w:val="18"/>
        <w:spacing w:line="360" w:lineRule="auto"/>
        <w:ind w:firstLine="540"/>
        <w:jc w:val="both"/>
        <w:rPr>
          <w:sz w:val="28"/>
          <w:szCs w:val="28"/>
        </w:rPr>
      </w:pPr>
      <w:r>
        <w:rPr>
          <w:sz w:val="28"/>
          <w:szCs w:val="28"/>
        </w:rPr>
        <w:t>о предоставлении обучающемуся академического отпуска;</w:t>
      </w:r>
    </w:p>
    <w:p w14:paraId="3E57B497">
      <w:pPr>
        <w:pStyle w:val="18"/>
        <w:spacing w:line="360" w:lineRule="auto"/>
        <w:ind w:firstLine="540"/>
        <w:jc w:val="both"/>
        <w:rPr>
          <w:sz w:val="28"/>
          <w:szCs w:val="28"/>
        </w:rPr>
      </w:pPr>
      <w:r>
        <w:rPr>
          <w:sz w:val="28"/>
          <w:szCs w:val="28"/>
        </w:rPr>
        <w:t>об отказе в предоставлении обучающемуся академического отпуска.</w:t>
      </w:r>
    </w:p>
    <w:p w14:paraId="45B7E630">
      <w:pPr>
        <w:pStyle w:val="18"/>
        <w:spacing w:line="360" w:lineRule="auto"/>
        <w:ind w:firstLine="540"/>
        <w:jc w:val="both"/>
        <w:rPr>
          <w:sz w:val="28"/>
          <w:szCs w:val="28"/>
        </w:rPr>
      </w:pPr>
      <w:r>
        <w:rPr>
          <w:sz w:val="28"/>
          <w:szCs w:val="28"/>
        </w:rPr>
        <w:t>В случае принятия решения об отказе в предоставлении обучающемуся академического отпуска такое решение должно быть мотивированным.</w:t>
      </w:r>
    </w:p>
    <w:p w14:paraId="3B069767">
      <w:pPr>
        <w:pStyle w:val="18"/>
        <w:spacing w:line="360" w:lineRule="auto"/>
        <w:ind w:firstLine="540"/>
        <w:jc w:val="both"/>
        <w:rPr>
          <w:sz w:val="28"/>
          <w:szCs w:val="28"/>
        </w:rPr>
      </w:pPr>
      <w:r>
        <w:rPr>
          <w:sz w:val="28"/>
          <w:szCs w:val="28"/>
        </w:rPr>
        <w:t>Решение Комиссии доводится до сведения обучающихся путем его размещения без указания фамилии, имени, отчества (при наличии) обучающихся с указанием страхового номера индивидуального лицевого счета (при наличии) или уникального кода, присвоенного обучающемуся, в информационно-телекоммуникационных сетях, в том числе в личном кабинете обучающегося либо на официальном сайте образовательной организации в сети "Интернет".</w:t>
      </w:r>
    </w:p>
    <w:p w14:paraId="06EB2DB4">
      <w:pPr>
        <w:pStyle w:val="18"/>
        <w:spacing w:line="360" w:lineRule="auto"/>
        <w:ind w:firstLine="540"/>
        <w:jc w:val="both"/>
        <w:rPr>
          <w:sz w:val="28"/>
          <w:szCs w:val="28"/>
        </w:rPr>
      </w:pPr>
      <w:bookmarkStart w:id="6" w:name="P51"/>
      <w:bookmarkEnd w:id="6"/>
      <w:r>
        <w:rPr>
          <w:sz w:val="28"/>
          <w:szCs w:val="28"/>
        </w:rPr>
        <w:t>6. Предоставление академического отпуска обучающемуся оформляется распорядительным актом организации, изданным руководителем организации либо лицом, исполняющим обязанности руководителя организации, либо иным должностным лицом, уполномоченным руководителем или исполняющим обязанности руководителя организации не позднее 5 рабочих дней со дня принятия решения в соответствии с пунктами 4 или 5 настоящего Порядка.</w:t>
      </w:r>
    </w:p>
    <w:p w14:paraId="0744F95B">
      <w:pPr>
        <w:pStyle w:val="18"/>
        <w:spacing w:line="360" w:lineRule="auto"/>
        <w:ind w:firstLine="540"/>
        <w:jc w:val="both"/>
        <w:rPr>
          <w:sz w:val="28"/>
          <w:szCs w:val="28"/>
        </w:rPr>
      </w:pPr>
      <w:r>
        <w:rPr>
          <w:sz w:val="28"/>
          <w:szCs w:val="28"/>
        </w:rPr>
        <w:t>Информация о предоставлении академического отпуска доводится до сведения обучающихся путем ее размещения без указания фамилии, имени, отчества (при наличии) обучающихся с указанием страхового номера индивидуального лицевого счета (при наличии) или уникального кода, присвоенного обучающемуся и реквизитов соответствующего распорядительного акта организации, в информационно-телекоммуникационных сетях, в том числе в личном кабинете обучающегося либо на официальном сайте образовательной организации в информационно-телекоммуникационной сети "Интернет".</w:t>
      </w:r>
    </w:p>
    <w:p w14:paraId="7C1EDCEA">
      <w:pPr>
        <w:pStyle w:val="18"/>
        <w:spacing w:line="360" w:lineRule="auto"/>
        <w:ind w:firstLine="540"/>
        <w:jc w:val="both"/>
        <w:rPr>
          <w:sz w:val="28"/>
          <w:szCs w:val="28"/>
        </w:rPr>
      </w:pPr>
      <w:r>
        <w:rPr>
          <w:sz w:val="28"/>
          <w:szCs w:val="28"/>
        </w:rPr>
        <w:t>7. Обучающийся в период нахождения в академическом отпуске освобождается от обязанностей, связанных с освоением им образовательной программы в организации, и не допускается к образовательному процессу до завершения академического отпуска.</w:t>
      </w:r>
    </w:p>
    <w:p w14:paraId="470DFA70">
      <w:pPr>
        <w:pStyle w:val="18"/>
        <w:spacing w:line="360" w:lineRule="auto"/>
        <w:ind w:firstLine="540"/>
        <w:jc w:val="both"/>
        <w:rPr>
          <w:sz w:val="28"/>
          <w:szCs w:val="28"/>
        </w:rPr>
      </w:pPr>
      <w:r>
        <w:rPr>
          <w:sz w:val="28"/>
          <w:szCs w:val="28"/>
        </w:rPr>
        <w:t>В случае, если обучающийся обучается в организации по договору об образовании за счет средств физического и (или) юридического лица, во время академического отпуска плата за обучение с него не взимается.</w:t>
      </w:r>
    </w:p>
    <w:p w14:paraId="7E4D7738">
      <w:pPr>
        <w:pStyle w:val="18"/>
        <w:spacing w:line="360" w:lineRule="auto"/>
        <w:ind w:firstLine="540"/>
        <w:jc w:val="both"/>
        <w:rPr>
          <w:sz w:val="28"/>
          <w:szCs w:val="28"/>
        </w:rPr>
      </w:pPr>
      <w:r>
        <w:rPr>
          <w:sz w:val="28"/>
          <w:szCs w:val="28"/>
        </w:rPr>
        <w:t>8. Академический отпуск завершается по окончании периода времени, на который он был предоставлен, либо до окончания указанного периода на основании заявления обучающегося.</w:t>
      </w:r>
    </w:p>
    <w:p w14:paraId="7CE3AC0E">
      <w:pPr>
        <w:pStyle w:val="18"/>
        <w:spacing w:line="360" w:lineRule="auto"/>
        <w:ind w:firstLine="540"/>
        <w:jc w:val="both"/>
        <w:rPr>
          <w:sz w:val="28"/>
          <w:szCs w:val="28"/>
        </w:rPr>
      </w:pPr>
      <w:r>
        <w:rPr>
          <w:sz w:val="28"/>
          <w:szCs w:val="28"/>
        </w:rPr>
        <w:t>В случае завершения академического отпуска до окончания периода, на который он был предоставлен, обучающийся допускается к обучению на основании приказа руководителя организации либо лица, исполняющего обязанности руководителя организации, либо иного должностного лица, уполномоченного руководителем или исполняющим обязанности руководителя организации.</w:t>
      </w:r>
    </w:p>
    <w:p w14:paraId="2F00BEDA">
      <w:pPr>
        <w:pStyle w:val="18"/>
        <w:spacing w:line="360" w:lineRule="auto"/>
        <w:ind w:firstLine="540"/>
        <w:jc w:val="both"/>
        <w:rPr>
          <w:sz w:val="28"/>
          <w:szCs w:val="28"/>
        </w:rPr>
      </w:pPr>
      <w:r>
        <w:rPr>
          <w:sz w:val="28"/>
          <w:szCs w:val="28"/>
        </w:rPr>
        <w:t>В случаях, если обучающийся по независящим от него обстоятельствам не приступил по завершению академического отпуска к обязанностям, связанным с освоением им образовательной программы, Комиссия вправе принять решение о продлении академического отпуска. Решение о продлении академического отпуска оформляется в соответствии с пунктами 2 - 6 настоящего Порядка.</w:t>
      </w:r>
    </w:p>
    <w:sectPr>
      <w:headerReference r:id="rId4" w:type="first"/>
      <w:footerReference r:id="rId6" w:type="first"/>
      <w:footerReference r:id="rId5" w:type="default"/>
      <w:pgSz w:w="11906" w:h="16838"/>
      <w:pgMar w:top="1440" w:right="566" w:bottom="1440" w:left="1133" w:header="0" w:footer="283"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CC"/>
    <w:family w:val="modern"/>
    <w:pitch w:val="default"/>
    <w:sig w:usb0="E0002AFF" w:usb1="C0007843" w:usb2="00000009" w:usb3="00000000" w:csb0="400001FF" w:csb1="FFFF0000"/>
  </w:font>
  <w:font w:name="Arial">
    <w:panose1 w:val="020B0604020202020204"/>
    <w:charset w:val="CC"/>
    <w:family w:val="swiss"/>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CB5EB">
    <w:pPr>
      <w:pStyle w:val="7"/>
      <w:jc w:val="both"/>
    </w:pPr>
    <w:r>
      <w:t>Приказ Минобрнауки России от 04.04.2025 № 303 «Об утверждении Порядка и оснований предоставления академического отпуска обучающимся»</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0C04C">
    <w:pPr>
      <w:pStyle w:val="18"/>
      <w:pBdr>
        <w:bottom w:val="single" w:color="auto" w:sz="12" w:space="0"/>
      </w:pBdr>
      <w:rPr>
        <w:sz w:val="2"/>
        <w:szCs w:val="2"/>
      </w:rPr>
    </w:pPr>
  </w:p>
  <w:tbl>
    <w:tblPr>
      <w:tblStyle w:val="3"/>
      <w:tblW w:w="5000" w:type="pct"/>
      <w:tblInd w:w="0" w:type="dxa"/>
      <w:tblLayout w:type="autofit"/>
      <w:tblCellMar>
        <w:top w:w="0" w:type="dxa"/>
        <w:left w:w="40" w:type="dxa"/>
        <w:bottom w:w="0" w:type="dxa"/>
        <w:right w:w="40" w:type="dxa"/>
      </w:tblCellMar>
    </w:tblPr>
    <w:tblGrid>
      <w:gridCol w:w="3394"/>
      <w:gridCol w:w="3498"/>
      <w:gridCol w:w="3395"/>
    </w:tblGrid>
    <w:tr w14:paraId="4E5AFC23">
      <w:tblPrEx>
        <w:tblCellMar>
          <w:top w:w="0" w:type="dxa"/>
          <w:left w:w="40" w:type="dxa"/>
          <w:bottom w:w="0" w:type="dxa"/>
          <w:right w:w="40" w:type="dxa"/>
        </w:tblCellMar>
      </w:tblPrEx>
      <w:trPr>
        <w:trHeight w:val="1663" w:hRule="exact"/>
      </w:trPr>
      <w:tc>
        <w:tcPr>
          <w:tcW w:w="1650" w:type="pct"/>
          <w:vAlign w:val="center"/>
        </w:tcPr>
        <w:p w14:paraId="375DC447">
          <w:pPr>
            <w:pStyle w:val="18"/>
          </w:pPr>
          <w:r>
            <w:rPr>
              <w:rFonts w:ascii="Tahoma" w:hAnsi="Tahoma" w:cs="Tahoma"/>
              <w:b/>
              <w:color w:val="F58220"/>
              <w:sz w:val="28"/>
              <w:szCs w:val="28"/>
            </w:rPr>
            <w:t>КонсультантПлюс</w:t>
          </w:r>
          <w:r>
            <w:rPr>
              <w:rFonts w:ascii="Tahoma" w:hAnsi="Tahoma" w:cs="Tahoma"/>
              <w:b/>
              <w:sz w:val="16"/>
              <w:szCs w:val="16"/>
            </w:rPr>
            <w:br w:type="textWrapping"/>
          </w:r>
          <w:r>
            <w:rPr>
              <w:rFonts w:ascii="Tahoma" w:hAnsi="Tahoma" w:cs="Tahoma"/>
              <w:b/>
              <w:sz w:val="16"/>
              <w:szCs w:val="16"/>
            </w:rPr>
            <w:t>надежная правовая поддержка</w:t>
          </w:r>
        </w:p>
      </w:tc>
      <w:tc>
        <w:tcPr>
          <w:tcW w:w="1700" w:type="pct"/>
          <w:vAlign w:val="center"/>
        </w:tcPr>
        <w:p w14:paraId="233FB920">
          <w:pPr>
            <w:pStyle w:val="18"/>
            <w:jc w:val="center"/>
          </w:pPr>
          <w:r>
            <w:fldChar w:fldCharType="begin"/>
          </w:r>
          <w:r>
            <w:instrText xml:space="preserve"> HYPERLINK "https://www.consultant.ru" \h </w:instrText>
          </w:r>
          <w:r>
            <w:fldChar w:fldCharType="separate"/>
          </w:r>
          <w:r>
            <w:rPr>
              <w:rFonts w:ascii="Tahoma" w:hAnsi="Tahoma" w:cs="Tahoma"/>
              <w:b/>
              <w:color w:val="0000FF"/>
            </w:rPr>
            <w:t>www.co№sulta№t.ru</w:t>
          </w:r>
          <w:r>
            <w:rPr>
              <w:rFonts w:ascii="Tahoma" w:hAnsi="Tahoma" w:cs="Tahoma"/>
              <w:b/>
              <w:color w:val="0000FF"/>
            </w:rPr>
            <w:fldChar w:fldCharType="end"/>
          </w:r>
        </w:p>
      </w:tc>
      <w:tc>
        <w:tcPr>
          <w:tcW w:w="1650" w:type="pct"/>
          <w:vAlign w:val="center"/>
        </w:tcPr>
        <w:p w14:paraId="5EADD897">
          <w:pPr>
            <w:pStyle w:val="18"/>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5</w:t>
          </w:r>
          <w:r>
            <w:fldChar w:fldCharType="end"/>
          </w:r>
        </w:p>
      </w:tc>
    </w:tr>
  </w:tbl>
  <w:p w14:paraId="1387980B">
    <w:pPr>
      <w:pStyle w:val="18"/>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FBC0C3E">
      <w:pPr>
        <w:pStyle w:val="5"/>
        <w:keepNext w:val="0"/>
        <w:keepLines w:val="0"/>
        <w:pageBreakBefore w:val="0"/>
        <w:widowControl/>
        <w:kinsoku/>
        <w:wordWrap/>
        <w:overflowPunct/>
        <w:topLinePunct w:val="0"/>
        <w:bidi w:val="0"/>
        <w:adjustRightInd/>
        <w:snapToGrid/>
        <w:spacing w:line="228" w:lineRule="auto"/>
        <w:ind w:firstLine="709"/>
        <w:jc w:val="both"/>
        <w:textAlignment w:val="auto"/>
      </w:pPr>
      <w:r>
        <w:rPr>
          <w:rStyle w:val="4"/>
        </w:rPr>
        <w:footnoteRef/>
      </w:r>
      <w:r>
        <w:t xml:space="preserve"> Приказ Министерства здравоохранения Российской Федерации от 14 сентября 2020 г. № 972н "Об утверждении Порядка выдачи медицинскими организациями справок и медицинских заключений" (зарегистрирован Министерством юстиции Российской Федерации 4 декабря 2020 г., регистрационный № 61261) с изменениями, внесенными приказом Министерством здравоохранения Российской Федерации от 12 ноября 2021 г. № 1049н (зарегистрирован Министерством юстиции Российской Федерации 25 ноября 2021 г., регистрационный № 65976) (срок действия ограничен 1 января 2027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0" w:type="dxa"/>
      <w:tblLayout w:type="fixed"/>
      <w:tblCellMar>
        <w:top w:w="0" w:type="dxa"/>
        <w:left w:w="40" w:type="dxa"/>
        <w:bottom w:w="0" w:type="dxa"/>
        <w:right w:w="40" w:type="dxa"/>
      </w:tblCellMar>
    </w:tblPr>
    <w:tblGrid>
      <w:gridCol w:w="5555"/>
      <w:gridCol w:w="4732"/>
    </w:tblGrid>
    <w:tr w14:paraId="611968A0">
      <w:tblPrEx>
        <w:tblCellMar>
          <w:top w:w="0" w:type="dxa"/>
          <w:left w:w="40" w:type="dxa"/>
          <w:bottom w:w="0" w:type="dxa"/>
          <w:right w:w="40" w:type="dxa"/>
        </w:tblCellMar>
      </w:tblPrEx>
      <w:trPr>
        <w:trHeight w:val="1683" w:hRule="exact"/>
      </w:trPr>
      <w:tc>
        <w:tcPr>
          <w:tcW w:w="2700" w:type="pct"/>
          <w:vAlign w:val="center"/>
        </w:tcPr>
        <w:p w14:paraId="199FB0A6">
          <w:pPr>
            <w:pStyle w:val="18"/>
            <w:rPr>
              <w:rFonts w:ascii="Tahoma" w:hAnsi="Tahoma" w:cs="Tahoma"/>
            </w:rPr>
          </w:pPr>
          <w:r>
            <w:rPr>
              <w:rFonts w:ascii="Tahoma" w:hAnsi="Tahoma" w:cs="Tahoma"/>
              <w:sz w:val="16"/>
              <w:szCs w:val="16"/>
            </w:rPr>
            <w:t>Приказ Минобрнауки России от 04.04.2025 № 303</w:t>
          </w:r>
          <w:r>
            <w:rPr>
              <w:rFonts w:ascii="Tahoma" w:hAnsi="Tahoma" w:cs="Tahoma"/>
              <w:sz w:val="16"/>
              <w:szCs w:val="16"/>
            </w:rPr>
            <w:br w:type="textWrapping"/>
          </w:r>
          <w:r>
            <w:rPr>
              <w:rFonts w:ascii="Tahoma" w:hAnsi="Tahoma" w:cs="Tahoma"/>
              <w:sz w:val="16"/>
              <w:szCs w:val="16"/>
            </w:rPr>
            <w:t>"Об утверждении Порядка и оснований предоставления академического отпуска ...</w:t>
          </w:r>
        </w:p>
      </w:tc>
      <w:tc>
        <w:tcPr>
          <w:tcW w:w="2300" w:type="pct"/>
          <w:vAlign w:val="center"/>
        </w:tcPr>
        <w:p w14:paraId="1E489218">
          <w:pPr>
            <w:pStyle w:val="18"/>
            <w:jc w:val="right"/>
            <w:rPr>
              <w:rFonts w:ascii="Tahoma" w:hAnsi="Tahoma" w:cs="Tahoma"/>
            </w:rPr>
          </w:pPr>
          <w:r>
            <w:rPr>
              <w:rFonts w:ascii="Tahoma" w:hAnsi="Tahoma" w:cs="Tahoma"/>
              <w:sz w:val="18"/>
              <w:szCs w:val="18"/>
            </w:rPr>
            <w:t xml:space="preserve">Документ предоставлен </w:t>
          </w:r>
          <w:r>
            <w:fldChar w:fldCharType="begin"/>
          </w:r>
          <w:r>
            <w:instrText xml:space="preserve"> HYPERLINK "https://www.consultant.ru" \o "КонсультантПлюс - надежная правовая система" \h </w:instrText>
          </w:r>
          <w:r>
            <w:fldChar w:fldCharType="separate"/>
          </w:r>
          <w:r>
            <w:rPr>
              <w:rFonts w:ascii="Tahoma" w:hAnsi="Tahoma" w:cs="Tahoma"/>
              <w:color w:val="0000FF"/>
              <w:sz w:val="18"/>
              <w:szCs w:val="18"/>
            </w:rPr>
            <w:t>КонсультантПлюс</w:t>
          </w:r>
          <w:r>
            <w:rPr>
              <w:rFonts w:ascii="Tahoma" w:hAnsi="Tahoma" w:cs="Tahoma"/>
              <w:color w:val="0000FF"/>
              <w:sz w:val="18"/>
              <w:szCs w:val="18"/>
            </w:rPr>
            <w:fldChar w:fldCharType="end"/>
          </w:r>
          <w:r>
            <w:rPr>
              <w:rFonts w:ascii="Tahoma" w:hAnsi="Tahoma" w:cs="Tahoma"/>
              <w:sz w:val="18"/>
              <w:szCs w:val="18"/>
            </w:rPr>
            <w:br w:type="textWrapping"/>
          </w:r>
          <w:r>
            <w:rPr>
              <w:rFonts w:ascii="Tahoma" w:hAnsi="Tahoma" w:cs="Tahoma"/>
              <w:sz w:val="16"/>
              <w:szCs w:val="16"/>
            </w:rPr>
            <w:t>Дата сохранения: 19.11.2025</w:t>
          </w:r>
        </w:p>
      </w:tc>
    </w:tr>
  </w:tbl>
  <w:p w14:paraId="26CFAE06">
    <w:pPr>
      <w:pStyle w:val="18"/>
      <w:pBdr>
        <w:bottom w:val="single" w:color="auto" w:sz="12" w:space="0"/>
      </w:pBdr>
      <w:rPr>
        <w:sz w:val="2"/>
        <w:szCs w:val="2"/>
      </w:rPr>
    </w:pPr>
  </w:p>
  <w:p w14:paraId="0853E53D">
    <w:pPr>
      <w:pStyle w:val="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2"/>
    <w:footnote w:id="3"/>
  </w:footnotePr>
  <w:compat>
    <w:compatSetting w:name="compatibilityMode" w:uri="http://schemas.microsoft.com/office/word" w:val="12"/>
  </w:compat>
  <w:rsids>
    <w:rsidRoot w:val="00A62D3F"/>
    <w:rsid w:val="001733B6"/>
    <w:rsid w:val="0092658C"/>
    <w:rsid w:val="00947549"/>
    <w:rsid w:val="00A62D3F"/>
    <w:rsid w:val="5EC32B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rPr>
      <w:rFonts w:ascii="Times New Roman" w:hAnsi="Times New Roman" w:eastAsia="Times New Roman" w:cs="Times New Roman"/>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basedOn w:val="2"/>
    <w:semiHidden/>
    <w:unhideWhenUsed/>
    <w:uiPriority w:val="99"/>
    <w:rPr>
      <w:vertAlign w:val="superscript"/>
    </w:rPr>
  </w:style>
  <w:style w:type="paragraph" w:styleId="5">
    <w:name w:val="footnote text"/>
    <w:basedOn w:val="1"/>
    <w:link w:val="29"/>
    <w:semiHidden/>
    <w:unhideWhenUsed/>
    <w:uiPriority w:val="99"/>
  </w:style>
  <w:style w:type="paragraph" w:styleId="6">
    <w:name w:val="header"/>
    <w:basedOn w:val="1"/>
    <w:link w:val="27"/>
    <w:unhideWhenUsed/>
    <w:uiPriority w:val="99"/>
    <w:pPr>
      <w:tabs>
        <w:tab w:val="center" w:pos="4677"/>
        <w:tab w:val="right" w:pos="9355"/>
      </w:tabs>
    </w:pPr>
  </w:style>
  <w:style w:type="paragraph" w:styleId="7">
    <w:name w:val="footer"/>
    <w:basedOn w:val="1"/>
    <w:link w:val="28"/>
    <w:unhideWhenUsed/>
    <w:uiPriority w:val="99"/>
    <w:pPr>
      <w:tabs>
        <w:tab w:val="center" w:pos="4677"/>
        <w:tab w:val="right" w:pos="9355"/>
      </w:tabs>
    </w:pPr>
  </w:style>
  <w:style w:type="table" w:styleId="8">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onsPlusNormal"/>
    <w:uiPriority w:val="0"/>
    <w:pPr>
      <w:widowControl w:val="0"/>
      <w:autoSpaceDE w:val="0"/>
      <w:autoSpaceDN w:val="0"/>
    </w:pPr>
    <w:rPr>
      <w:rFonts w:ascii="Times New Roman" w:hAnsi="Times New Roman" w:eastAsia="Times New Roman" w:cs="Times New Roman"/>
      <w:sz w:val="24"/>
      <w:lang w:val="ru-RU" w:eastAsia="ru-RU" w:bidi="ar-SA"/>
    </w:rPr>
  </w:style>
  <w:style w:type="paragraph" w:customStyle="1" w:styleId="10">
    <w:name w:val="ConsPlusNonformat"/>
    <w:uiPriority w:val="0"/>
    <w:pPr>
      <w:widowControl w:val="0"/>
      <w:autoSpaceDE w:val="0"/>
      <w:autoSpaceDN w:val="0"/>
    </w:pPr>
    <w:rPr>
      <w:rFonts w:ascii="Courier New" w:hAnsi="Courier New" w:eastAsia="Times New Roman" w:cs="Courier New"/>
      <w:lang w:val="ru-RU" w:eastAsia="ru-RU" w:bidi="ar-SA"/>
    </w:rPr>
  </w:style>
  <w:style w:type="paragraph" w:customStyle="1" w:styleId="11">
    <w:name w:val="ConsPlusTitle"/>
    <w:qFormat/>
    <w:uiPriority w:val="0"/>
    <w:pPr>
      <w:widowControl w:val="0"/>
      <w:autoSpaceDE w:val="0"/>
      <w:autoSpaceDN w:val="0"/>
    </w:pPr>
    <w:rPr>
      <w:rFonts w:ascii="Arial" w:hAnsi="Arial" w:eastAsia="Times New Roman" w:cs="Arial"/>
      <w:b/>
      <w:sz w:val="24"/>
      <w:lang w:val="ru-RU" w:eastAsia="ru-RU" w:bidi="ar-SA"/>
    </w:rPr>
  </w:style>
  <w:style w:type="paragraph" w:customStyle="1" w:styleId="12">
    <w:name w:val="ConsPlusCell"/>
    <w:uiPriority w:val="0"/>
    <w:pPr>
      <w:widowControl w:val="0"/>
      <w:autoSpaceDE w:val="0"/>
      <w:autoSpaceDN w:val="0"/>
    </w:pPr>
    <w:rPr>
      <w:rFonts w:ascii="Courier New" w:hAnsi="Courier New" w:eastAsia="Times New Roman" w:cs="Courier New"/>
      <w:lang w:val="ru-RU" w:eastAsia="ru-RU" w:bidi="ar-SA"/>
    </w:rPr>
  </w:style>
  <w:style w:type="paragraph" w:customStyle="1" w:styleId="13">
    <w:name w:val="ConsPlusDocList"/>
    <w:uiPriority w:val="0"/>
    <w:pPr>
      <w:widowControl w:val="0"/>
      <w:autoSpaceDE w:val="0"/>
      <w:autoSpaceDN w:val="0"/>
    </w:pPr>
    <w:rPr>
      <w:rFonts w:ascii="Tahoma" w:hAnsi="Tahoma" w:eastAsia="Times New Roman" w:cs="Tahoma"/>
      <w:sz w:val="18"/>
      <w:lang w:val="ru-RU" w:eastAsia="ru-RU" w:bidi="ar-SA"/>
    </w:rPr>
  </w:style>
  <w:style w:type="paragraph" w:customStyle="1" w:styleId="14">
    <w:name w:val="ConsPlusTitlePage"/>
    <w:qFormat/>
    <w:uiPriority w:val="0"/>
    <w:pPr>
      <w:widowControl w:val="0"/>
      <w:autoSpaceDE w:val="0"/>
      <w:autoSpaceDN w:val="0"/>
    </w:pPr>
    <w:rPr>
      <w:rFonts w:ascii="Tahoma" w:hAnsi="Tahoma" w:eastAsia="Times New Roman" w:cs="Tahoma"/>
      <w:lang w:val="ru-RU" w:eastAsia="ru-RU" w:bidi="ar-SA"/>
    </w:rPr>
  </w:style>
  <w:style w:type="paragraph" w:customStyle="1" w:styleId="15">
    <w:name w:val="ConsPlusJurTerm"/>
    <w:uiPriority w:val="0"/>
    <w:pPr>
      <w:widowControl w:val="0"/>
      <w:autoSpaceDE w:val="0"/>
      <w:autoSpaceDN w:val="0"/>
    </w:pPr>
    <w:rPr>
      <w:rFonts w:ascii="Tahoma" w:hAnsi="Tahoma" w:eastAsia="Times New Roman" w:cs="Tahoma"/>
      <w:sz w:val="26"/>
      <w:lang w:val="ru-RU" w:eastAsia="ru-RU" w:bidi="ar-SA"/>
    </w:rPr>
  </w:style>
  <w:style w:type="paragraph" w:customStyle="1" w:styleId="16">
    <w:name w:val="ConsPlusTextList"/>
    <w:uiPriority w:val="0"/>
    <w:pPr>
      <w:widowControl w:val="0"/>
      <w:autoSpaceDE w:val="0"/>
      <w:autoSpaceDN w:val="0"/>
    </w:pPr>
    <w:rPr>
      <w:rFonts w:ascii="Times New Roman" w:hAnsi="Times New Roman" w:eastAsia="Times New Roman" w:cs="Times New Roman"/>
      <w:sz w:val="24"/>
      <w:lang w:val="ru-RU" w:eastAsia="ru-RU" w:bidi="ar-SA"/>
    </w:rPr>
  </w:style>
  <w:style w:type="paragraph" w:customStyle="1" w:styleId="17">
    <w:name w:val="ConsPlusTextList1"/>
    <w:qFormat/>
    <w:uiPriority w:val="0"/>
    <w:pPr>
      <w:widowControl w:val="0"/>
      <w:autoSpaceDE w:val="0"/>
      <w:autoSpaceDN w:val="0"/>
    </w:pPr>
    <w:rPr>
      <w:rFonts w:ascii="Times New Roman" w:hAnsi="Times New Roman" w:eastAsia="Times New Roman" w:cs="Times New Roman"/>
      <w:sz w:val="24"/>
      <w:lang w:val="ru-RU" w:eastAsia="ru-RU" w:bidi="ar-SA"/>
    </w:rPr>
  </w:style>
  <w:style w:type="paragraph" w:customStyle="1" w:styleId="18">
    <w:name w:val="ConsPlusNormal1"/>
    <w:uiPriority w:val="0"/>
    <w:pPr>
      <w:widowControl w:val="0"/>
      <w:autoSpaceDE w:val="0"/>
      <w:autoSpaceDN w:val="0"/>
    </w:pPr>
    <w:rPr>
      <w:rFonts w:ascii="Times New Roman" w:hAnsi="Times New Roman" w:eastAsia="Times New Roman" w:cs="Times New Roman"/>
      <w:sz w:val="24"/>
      <w:lang w:val="ru-RU" w:eastAsia="ru-RU" w:bidi="ar-SA"/>
    </w:rPr>
  </w:style>
  <w:style w:type="paragraph" w:customStyle="1" w:styleId="19">
    <w:name w:val="ConsPlusNonformat1"/>
    <w:uiPriority w:val="0"/>
    <w:pPr>
      <w:widowControl w:val="0"/>
      <w:autoSpaceDE w:val="0"/>
      <w:autoSpaceDN w:val="0"/>
    </w:pPr>
    <w:rPr>
      <w:rFonts w:ascii="Courier New" w:hAnsi="Courier New" w:eastAsia="Times New Roman" w:cs="Courier New"/>
      <w:lang w:val="ru-RU" w:eastAsia="ru-RU" w:bidi="ar-SA"/>
    </w:rPr>
  </w:style>
  <w:style w:type="paragraph" w:customStyle="1" w:styleId="20">
    <w:name w:val="ConsPlusTitle1"/>
    <w:qFormat/>
    <w:uiPriority w:val="0"/>
    <w:pPr>
      <w:widowControl w:val="0"/>
      <w:autoSpaceDE w:val="0"/>
      <w:autoSpaceDN w:val="0"/>
    </w:pPr>
    <w:rPr>
      <w:rFonts w:ascii="Arial" w:hAnsi="Arial" w:eastAsia="Times New Roman" w:cs="Arial"/>
      <w:b/>
      <w:sz w:val="24"/>
      <w:lang w:val="ru-RU" w:eastAsia="ru-RU" w:bidi="ar-SA"/>
    </w:rPr>
  </w:style>
  <w:style w:type="paragraph" w:customStyle="1" w:styleId="21">
    <w:name w:val="ConsPlusCell1"/>
    <w:uiPriority w:val="0"/>
    <w:pPr>
      <w:widowControl w:val="0"/>
      <w:autoSpaceDE w:val="0"/>
      <w:autoSpaceDN w:val="0"/>
    </w:pPr>
    <w:rPr>
      <w:rFonts w:ascii="Courier New" w:hAnsi="Courier New" w:eastAsia="Times New Roman" w:cs="Courier New"/>
      <w:lang w:val="ru-RU" w:eastAsia="ru-RU" w:bidi="ar-SA"/>
    </w:rPr>
  </w:style>
  <w:style w:type="paragraph" w:customStyle="1" w:styleId="22">
    <w:name w:val="ConsPlusDocList1"/>
    <w:uiPriority w:val="0"/>
    <w:pPr>
      <w:widowControl w:val="0"/>
      <w:autoSpaceDE w:val="0"/>
      <w:autoSpaceDN w:val="0"/>
    </w:pPr>
    <w:rPr>
      <w:rFonts w:ascii="Tahoma" w:hAnsi="Tahoma" w:eastAsia="Times New Roman" w:cs="Tahoma"/>
      <w:sz w:val="18"/>
      <w:lang w:val="ru-RU" w:eastAsia="ru-RU" w:bidi="ar-SA"/>
    </w:rPr>
  </w:style>
  <w:style w:type="paragraph" w:customStyle="1" w:styleId="23">
    <w:name w:val="ConsPlusTitlePage1"/>
    <w:uiPriority w:val="0"/>
    <w:pPr>
      <w:widowControl w:val="0"/>
      <w:autoSpaceDE w:val="0"/>
      <w:autoSpaceDN w:val="0"/>
    </w:pPr>
    <w:rPr>
      <w:rFonts w:ascii="Tahoma" w:hAnsi="Tahoma" w:eastAsia="Times New Roman" w:cs="Tahoma"/>
      <w:lang w:val="ru-RU" w:eastAsia="ru-RU" w:bidi="ar-SA"/>
    </w:rPr>
  </w:style>
  <w:style w:type="paragraph" w:customStyle="1" w:styleId="24">
    <w:name w:val="ConsPlusJurTerm1"/>
    <w:uiPriority w:val="0"/>
    <w:pPr>
      <w:widowControl w:val="0"/>
      <w:autoSpaceDE w:val="0"/>
      <w:autoSpaceDN w:val="0"/>
    </w:pPr>
    <w:rPr>
      <w:rFonts w:ascii="Tahoma" w:hAnsi="Tahoma" w:eastAsia="Times New Roman" w:cs="Tahoma"/>
      <w:sz w:val="26"/>
      <w:lang w:val="ru-RU" w:eastAsia="ru-RU" w:bidi="ar-SA"/>
    </w:rPr>
  </w:style>
  <w:style w:type="paragraph" w:customStyle="1" w:styleId="25">
    <w:name w:val="ConsPlusTextList2"/>
    <w:uiPriority w:val="0"/>
    <w:pPr>
      <w:widowControl w:val="0"/>
      <w:autoSpaceDE w:val="0"/>
      <w:autoSpaceDN w:val="0"/>
    </w:pPr>
    <w:rPr>
      <w:rFonts w:ascii="Times New Roman" w:hAnsi="Times New Roman" w:eastAsia="Times New Roman" w:cs="Times New Roman"/>
      <w:sz w:val="24"/>
      <w:lang w:val="ru-RU" w:eastAsia="ru-RU" w:bidi="ar-SA"/>
    </w:rPr>
  </w:style>
  <w:style w:type="paragraph" w:customStyle="1" w:styleId="26">
    <w:name w:val="ConsPlusTextList3"/>
    <w:uiPriority w:val="0"/>
    <w:pPr>
      <w:widowControl w:val="0"/>
      <w:autoSpaceDE w:val="0"/>
      <w:autoSpaceDN w:val="0"/>
    </w:pPr>
    <w:rPr>
      <w:rFonts w:ascii="Times New Roman" w:hAnsi="Times New Roman" w:eastAsia="Times New Roman" w:cs="Times New Roman"/>
      <w:sz w:val="24"/>
      <w:lang w:val="ru-RU" w:eastAsia="ru-RU" w:bidi="ar-SA"/>
    </w:rPr>
  </w:style>
  <w:style w:type="character" w:customStyle="1" w:styleId="27">
    <w:name w:val="Верхний колонтитул Знак"/>
    <w:basedOn w:val="2"/>
    <w:link w:val="6"/>
    <w:uiPriority w:val="99"/>
  </w:style>
  <w:style w:type="character" w:customStyle="1" w:styleId="28">
    <w:name w:val="Нижний колонтитул Знак"/>
    <w:basedOn w:val="2"/>
    <w:link w:val="7"/>
    <w:uiPriority w:val="99"/>
  </w:style>
  <w:style w:type="character" w:customStyle="1" w:styleId="29">
    <w:name w:val="Текст сноски Знак"/>
    <w:basedOn w:val="2"/>
    <w:link w:val="5"/>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AAA6A-D0FB-4262-A32B-CA5875058DA5}">
  <ds:schemaRefs/>
</ds:datastoreItem>
</file>

<file path=docProps/app.xml><?xml version="1.0" encoding="utf-8"?>
<Properties xmlns="http://schemas.openxmlformats.org/officeDocument/2006/extended-properties" xmlns:vt="http://schemas.openxmlformats.org/officeDocument/2006/docPropsVTypes">
  <Template>Normal</Template>
  <Pages>5</Pages>
  <Words>1210</Words>
  <Characters>6897</Characters>
  <Lines>57</Lines>
  <Paragraphs>16</Paragraphs>
  <TotalTime>4</TotalTime>
  <ScaleCrop>false</ScaleCrop>
  <LinksUpToDate>false</LinksUpToDate>
  <CharactersWithSpaces>8091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2025-11-26T13:12:00Z</dcterms:created>
  <dcterms:modified xsi:type="dcterms:W3CDTF">2025-12-05T11:36:04Z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A60353E14B4A4645BCD91665B444993E_12</vt:lpwstr>
  </property>
</Properties>
</file>