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02A1E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right"/>
        <w:textAlignment w:val="auto"/>
        <w:outlineLvl w:val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Зарегистрировано в Минюсте России 24 января 2023 г.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72113</w:t>
      </w:r>
    </w:p>
    <w:p w14:paraId="456925CA">
      <w:pPr>
        <w:pStyle w:val="9"/>
        <w:keepNext w:val="0"/>
        <w:keepLines w:val="0"/>
        <w:pageBreakBefore w:val="0"/>
        <w:pBdr>
          <w:bottom w:val="single" w:color="auto" w:sz="6" w:space="0"/>
        </w:pBdr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223CCEE9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3D7D1FFA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МИНИСТЕРСТВО ПРОСВЕЩЕНИЯ</w:t>
      </w:r>
    </w:p>
    <w:p w14:paraId="41F7D756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РО</w:t>
      </w:r>
      <w:bookmarkStart w:id="7" w:name="_GoBack"/>
      <w:bookmarkEnd w:id="7"/>
      <w:r>
        <w:rPr>
          <w:rFonts w:hint="default" w:ascii="Times New Roman" w:hAnsi="Times New Roman" w:cs="Times New Roman"/>
          <w:color w:val="auto"/>
          <w:sz w:val="28"/>
          <w:szCs w:val="28"/>
        </w:rPr>
        <w:t>ССИЙСКОЙ ФЕДЕРАЦИИ</w:t>
      </w:r>
    </w:p>
    <w:p w14:paraId="13213AEC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16" w:lineRule="auto"/>
        <w:jc w:val="center"/>
        <w:textAlignment w:val="auto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(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МИН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ПРОСВЕЩЕНИЯ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РОССИИ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)</w:t>
      </w:r>
    </w:p>
    <w:p w14:paraId="50369626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16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2BCDA872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16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Р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И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К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А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З</w:t>
      </w:r>
    </w:p>
    <w:p w14:paraId="0B4522E4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16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1"/>
        <w:gridCol w:w="5212"/>
      </w:tblGrid>
      <w:tr w14:paraId="5979D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264B5DFC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6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12 декабря 2022 г.</w:t>
            </w: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14:paraId="11288417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6" w:lineRule="auto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№ 1098</w:t>
            </w:r>
          </w:p>
        </w:tc>
      </w:tr>
    </w:tbl>
    <w:p w14:paraId="147327B0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16" w:lineRule="auto"/>
        <w:jc w:val="center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/>
        </w:rPr>
        <w:t>Москва</w:t>
      </w:r>
    </w:p>
    <w:p w14:paraId="6AB3CE2F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048169D3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О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б утверждении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федерального государственного образовательного</w:t>
      </w:r>
    </w:p>
    <w:p w14:paraId="14FBDD3F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стандарта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среднего профессионального образования по специальности</w:t>
      </w:r>
    </w:p>
    <w:p w14:paraId="3D58F1AE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55.02.02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нимация и анимационное кино (по видам)</w:t>
      </w:r>
    </w:p>
    <w:p w14:paraId="74FCF310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11CFC133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В соответствии с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подпунктом 4.2.30 пункта 4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884 (Собрание законодательства Российской Федерации, 2018,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32, ст. 5343), и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пунктом 27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434 (Собрание законодательства Российской Федерации, 2019,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16, ст. 1942), приказываю:</w:t>
      </w:r>
    </w:p>
    <w:p w14:paraId="2127C4B3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1. Утвердить прилагаемый федеральный государственный образовательный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стандарт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среднего профессионального образования по специальности 55.02.02 Анимация и анимационное кино (по видам) (далее - стандарт).</w:t>
      </w:r>
    </w:p>
    <w:p w14:paraId="1AB90B3C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 Установить, что:</w:t>
      </w:r>
    </w:p>
    <w:p w14:paraId="59107C2D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образовательная организация вправе осуществлять в соответствии со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стандартом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обучение лиц, зачисленных до вступления в силу настоящего приказа, с их согласия;</w:t>
      </w:r>
    </w:p>
    <w:p w14:paraId="282F9028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прием на обучение в соответствии с федеральным государственным образовательным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стандартом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среднего профессионального образования по специальности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55.02.02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Анимация (по видам), утвержденным приказом Министерства образования и науки Российской Федерации от 13 августа 2014 г. </w:t>
      </w:r>
      <w:r>
        <w:rPr>
          <w:rFonts w:hint="default" w:cs="Times New Roman"/>
          <w:color w:val="auto"/>
          <w:sz w:val="28"/>
          <w:szCs w:val="28"/>
          <w:lang w:val="ru-RU"/>
        </w:rPr>
        <w:t>№ 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992 (зарегистрирован Министерством юстиции Российской Федерации 25 августа 2014 г., регистрационный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33819), с изменениями, внесенными приказом Министерства просвещения Российской Федерации от 13 июля 2021 г.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450 (зарегистрирован Министерством юстиции Российской Федерации 14 октября 2021 г., регистрационный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65410), прекращается с 1 февраля 2023 года.</w:t>
      </w:r>
    </w:p>
    <w:p w14:paraId="449E8E62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0BF3EA90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right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Министр</w:t>
      </w:r>
    </w:p>
    <w:p w14:paraId="11AAF9AC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right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С.С.</w:t>
      </w:r>
      <w:r>
        <w:rPr>
          <w:rFonts w:hint="default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Кравцов</w:t>
      </w:r>
    </w:p>
    <w:p w14:paraId="0A494E37">
      <w:pPr>
        <w:pStyle w:val="9"/>
        <w:keepNext w:val="0"/>
        <w:keepLines w:val="0"/>
        <w:pageBreakBefore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4200" w:leftChars="2100" w:firstLine="0" w:firstLineChars="0"/>
        <w:jc w:val="center"/>
        <w:textAlignment w:val="auto"/>
        <w:outlineLvl w:val="0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УТВЕРЖДЕН</w:t>
      </w:r>
    </w:p>
    <w:p w14:paraId="71979A00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left="4200" w:leftChars="2100" w:firstLine="0" w:firstLineChars="0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приказом Министерства просвещения</w:t>
      </w:r>
    </w:p>
    <w:p w14:paraId="13140E7E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left="4200" w:leftChars="2100" w:firstLine="0" w:firstLineChars="0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Российской Федерации</w:t>
      </w:r>
    </w:p>
    <w:p w14:paraId="37C50F0E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left="4200" w:leftChars="2100" w:firstLine="0" w:firstLineChars="0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от 12 декабря 2022 г. </w:t>
      </w:r>
      <w:r>
        <w:rPr>
          <w:rFonts w:hint="default" w:cs="Times New Roman"/>
          <w:b w:val="0"/>
          <w:bCs w:val="0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1098</w:t>
      </w:r>
    </w:p>
    <w:p w14:paraId="4ED5C5C2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14:paraId="504A4935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0" w:name="P34"/>
      <w:bookmarkEnd w:id="0"/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ФЕДЕРАЛЬНЫЙ ГОСУДАРСТВЕННЫЙ ОБРАЗОВАТЕЛЬНЫЙ СТАНДАРТ</w:t>
      </w:r>
    </w:p>
    <w:p w14:paraId="212AD880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СРЕДНЕГО ПРОФЕССИОНАЛЬНОГО ОБРАЗОВАНИЯ ПО СПЕЦИАЛЬНОСТИ</w:t>
      </w:r>
    </w:p>
    <w:p w14:paraId="60A4B347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55.02.02 АНИМАЦИЯ И АНИМАЦИОННОЕ КИНО (ПО ВИДАМ)</w:t>
      </w:r>
    </w:p>
    <w:p w14:paraId="11B4F8B1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14:paraId="48BD8EAB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outlineLvl w:val="1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I. ОБЩИЕ ПОЛОЖЕНИЯ</w:t>
      </w:r>
    </w:p>
    <w:p w14:paraId="312FD943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14:paraId="461F01FB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bookmarkStart w:id="1" w:name="P42"/>
      <w:bookmarkEnd w:id="1"/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55.02.02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Анимация и анимационное кино (по видам) (далее - ФГОС СПО, образовательная программа, специальность) в соответствии с квалификацией специалиста среднего звена "специалист по анимации и анимационному кино"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0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.</w:t>
      </w:r>
    </w:p>
    <w:p w14:paraId="76B9FB02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1.2.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(далее - образовательная организация).</w:t>
      </w:r>
    </w:p>
    <w:p w14:paraId="1321C07F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1.3. Образовательная программа, реализуемая на базе основного общего</w:t>
      </w:r>
      <w:r>
        <w:rPr>
          <w:rFonts w:hint="default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образования, разрабатывается образовательной организацией на основе требований федерального</w:t>
      </w:r>
      <w:r>
        <w:rPr>
          <w:rFonts w:hint="default" w:cs="Times New Roman"/>
          <w:color w:val="auto"/>
          <w:sz w:val="28"/>
          <w:szCs w:val="28"/>
          <w:lang w:val="ru-RU"/>
        </w:rPr>
        <w:t xml:space="preserve">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государственного</w:t>
      </w:r>
      <w:r>
        <w:rPr>
          <w:rFonts w:hint="default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образовательного</w:t>
      </w:r>
      <w:r>
        <w:rPr>
          <w:rFonts w:hint="default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стандарта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hint="default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среднего общего</w:t>
      </w:r>
    </w:p>
    <w:p w14:paraId="6B68B2AF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3D3CD367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74F02146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5A5F05E3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49996013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образования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1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, ФГОС СПО и положений федеральной основной общеобразовательной программы среднего общего образования с учетом получаемой специальности.</w:t>
      </w:r>
    </w:p>
    <w:p w14:paraId="62A4B129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29711419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1.4. Обучение по образовательной программе в образовательной организации может осуществляться в очной, очно-заочной формах обучения.</w:t>
      </w:r>
    </w:p>
    <w:p w14:paraId="746641C0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14:paraId="0FCBD85B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14:paraId="12A8039E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1.6. Реализация образовательной программы осуществляется образовательной организацией как самостоятельно, так и посредством сетевой формы. 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14:paraId="2DE6BED1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1.7.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2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.</w:t>
      </w:r>
    </w:p>
    <w:p w14:paraId="411865E9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7AE04DBD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3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.</w:t>
      </w:r>
    </w:p>
    <w:p w14:paraId="1D196FF3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bookmarkStart w:id="2" w:name="P66"/>
      <w:bookmarkEnd w:id="2"/>
      <w:r>
        <w:rPr>
          <w:rFonts w:hint="default" w:ascii="Times New Roman" w:hAnsi="Times New Roman" w:cs="Times New Roman"/>
          <w:color w:val="auto"/>
          <w:sz w:val="28"/>
          <w:szCs w:val="28"/>
        </w:rPr>
        <w:t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14:paraId="4AEF8571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на базе среднего общего образования - 2 года 10 месяцев;</w:t>
      </w:r>
    </w:p>
    <w:p w14:paraId="2EC379D4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на базе основного общего образования - 3 года 10 месяцев.</w:t>
      </w:r>
    </w:p>
    <w:p w14:paraId="5A3A995E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Срок получения образования по образовательной программе в очно-заочной форме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 не более чем на 1 год.</w:t>
      </w:r>
    </w:p>
    <w:p w14:paraId="6D7951D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39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1.10. При обучении по индивидуальному учебному плану срок получения образования по образовательной программе, вне зависимости от формы обучения, составляет не более срока получения образования, установленного для соответствующей формы обучения.</w:t>
      </w:r>
    </w:p>
    <w:p w14:paraId="66A4F05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39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обучения.</w:t>
      </w:r>
    </w:p>
    <w:p w14:paraId="0AEC154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39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1.11. Конкретный срок получения образования в очно-заочной форме обучения,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пунктом 1.9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ФГОС СПО.</w:t>
      </w:r>
    </w:p>
    <w:p w14:paraId="269605F1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 w14:paraId="4DDE825E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1.13. Срок получения образования по образовательной программе, реализуемой в условиях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а также объем такой образовательной программы могут быть уменьшены с учетом соответствующей ПОП, но не более чем на 40 процентов от срока получения образования и объема образовательной программы, установленных настоящим ФГОС СПО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4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.</w:t>
      </w:r>
    </w:p>
    <w:p w14:paraId="48206E82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1DBBA740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bookmarkStart w:id="3" w:name="P79"/>
      <w:bookmarkEnd w:id="3"/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1.14.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04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Культура, искусство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5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.</w:t>
      </w:r>
    </w:p>
    <w:p w14:paraId="27FBCE72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14:paraId="65519575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1.15. При разработке образовательной программы образовательная организация устанавливает направленность, которая конкретизирует содержание программы путем ориентации на виды деятельности, с учетом соответствующей ПОП.</w:t>
      </w:r>
    </w:p>
    <w:p w14:paraId="117A0DBD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(п. 1.15 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0383DE89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outlineLvl w:val="1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II. ТРЕБОВАНИЯ К СТРУКТУРЕ ОБРАЗОВАТЕЛЬНОЙ ПРОГРАММЫ</w:t>
      </w:r>
    </w:p>
    <w:p w14:paraId="4FF6E967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0F24750B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2.1. Структура и объем образовательной программы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(таблица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1)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включает:</w:t>
      </w:r>
    </w:p>
    <w:p w14:paraId="59D6ED45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дисциплины (модули);</w:t>
      </w:r>
    </w:p>
    <w:p w14:paraId="3C465E74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практику;</w:t>
      </w:r>
    </w:p>
    <w:p w14:paraId="28D4E742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государственную итоговую аттестацию.</w:t>
      </w:r>
    </w:p>
    <w:p w14:paraId="336A2F88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right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Таблица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1</w:t>
      </w:r>
    </w:p>
    <w:p w14:paraId="77990D57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bookmarkStart w:id="4" w:name="P96"/>
      <w:bookmarkEnd w:id="4"/>
      <w:r>
        <w:rPr>
          <w:rFonts w:hint="default" w:ascii="Times New Roman" w:hAnsi="Times New Roman" w:cs="Times New Roman"/>
          <w:color w:val="auto"/>
          <w:sz w:val="28"/>
          <w:szCs w:val="28"/>
        </w:rPr>
        <w:t>Структура и объем образовательной программы</w:t>
      </w:r>
    </w:p>
    <w:tbl>
      <w:tblPr>
        <w:tblStyle w:val="3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520"/>
        <w:gridCol w:w="3809"/>
      </w:tblGrid>
      <w:tr w14:paraId="522BA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3156" w:type="pct"/>
          </w:tcPr>
          <w:p w14:paraId="5A9D7ACD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Структура образовательной программы</w:t>
            </w:r>
          </w:p>
        </w:tc>
        <w:tc>
          <w:tcPr>
            <w:tcW w:w="1843" w:type="pct"/>
          </w:tcPr>
          <w:p w14:paraId="4F5B5880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Объем образовательной программы, в академических часах</w:t>
            </w:r>
          </w:p>
        </w:tc>
      </w:tr>
      <w:tr w14:paraId="39E69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3156" w:type="pct"/>
          </w:tcPr>
          <w:p w14:paraId="2673F589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Дисциплины (модули)</w:t>
            </w:r>
          </w:p>
        </w:tc>
        <w:tc>
          <w:tcPr>
            <w:tcW w:w="1843" w:type="pct"/>
          </w:tcPr>
          <w:p w14:paraId="2641271C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Не менее 2052</w:t>
            </w:r>
          </w:p>
        </w:tc>
      </w:tr>
      <w:tr w14:paraId="1F32B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3156" w:type="pct"/>
          </w:tcPr>
          <w:p w14:paraId="567CE51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Практика</w:t>
            </w:r>
          </w:p>
        </w:tc>
        <w:tc>
          <w:tcPr>
            <w:tcW w:w="1843" w:type="pct"/>
          </w:tcPr>
          <w:p w14:paraId="3B98C185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Не менее 900</w:t>
            </w:r>
          </w:p>
        </w:tc>
      </w:tr>
      <w:tr w14:paraId="530F3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3156" w:type="pct"/>
          </w:tcPr>
          <w:p w14:paraId="23D06B2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Государственная итоговая аттестация</w:t>
            </w:r>
          </w:p>
        </w:tc>
        <w:tc>
          <w:tcPr>
            <w:tcW w:w="1843" w:type="pct"/>
          </w:tcPr>
          <w:p w14:paraId="749165C0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216</w:t>
            </w:r>
          </w:p>
        </w:tc>
      </w:tr>
      <w:tr w14:paraId="4925D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5000" w:type="pct"/>
            <w:gridSpan w:val="2"/>
          </w:tcPr>
          <w:p w14:paraId="16B0BDB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Общий объем образовательной программы:</w:t>
            </w:r>
          </w:p>
        </w:tc>
      </w:tr>
      <w:tr w14:paraId="4607E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3156" w:type="pct"/>
          </w:tcPr>
          <w:p w14:paraId="649BCC7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на базе среднего общего образования</w:t>
            </w:r>
          </w:p>
        </w:tc>
        <w:tc>
          <w:tcPr>
            <w:tcW w:w="1843" w:type="pct"/>
          </w:tcPr>
          <w:p w14:paraId="302363B6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4464</w:t>
            </w:r>
          </w:p>
        </w:tc>
      </w:tr>
      <w:tr w14:paraId="10870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3156" w:type="pct"/>
          </w:tcPr>
          <w:p w14:paraId="58339FD0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стандарта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среднего общего образования</w:t>
            </w:r>
          </w:p>
        </w:tc>
        <w:tc>
          <w:tcPr>
            <w:tcW w:w="1843" w:type="pct"/>
          </w:tcPr>
          <w:p w14:paraId="5B09499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5940</w:t>
            </w:r>
          </w:p>
        </w:tc>
      </w:tr>
    </w:tbl>
    <w:p w14:paraId="3FD067E0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7308ECFD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2.2. Образовательная программа включает:</w:t>
      </w:r>
    </w:p>
    <w:p w14:paraId="30BC6BFC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социально-гуманитарный цикл;</w:t>
      </w:r>
    </w:p>
    <w:p w14:paraId="1E94DF82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общепрофессиональный цикл;</w:t>
      </w:r>
    </w:p>
    <w:p w14:paraId="4CD9893A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профессиональный цикл.</w:t>
      </w:r>
    </w:p>
    <w:p w14:paraId="410C7FA5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 w14:paraId="6A33E7D8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главой III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ФГОС СПО.</w:t>
      </w:r>
    </w:p>
    <w:p w14:paraId="1AA50DDC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26684AC7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Объем обязательной части без учета объема государственной итоговой аттестации должен составлять не более 70 процентов от общего объема времени, отведенного на освоение образовательной программы.</w:t>
      </w:r>
    </w:p>
    <w:p w14:paraId="66EA89ED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Вариативная часть образовательной программы не менее 30 процентов от общего объема времени, отведенного на освоение образовательной программы, дает возможность дальнейшего развития общих и профессиональных компетенций,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 цифровой экономики.</w:t>
      </w:r>
    </w:p>
    <w:p w14:paraId="16E82542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p w14:paraId="19E2CE9A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390D2DA2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bookmarkStart w:id="5" w:name="P122"/>
      <w:bookmarkEnd w:id="5"/>
      <w:r>
        <w:rPr>
          <w:rFonts w:hint="default" w:ascii="Times New Roman" w:hAnsi="Times New Roman" w:cs="Times New Roman"/>
          <w:color w:val="auto"/>
          <w:sz w:val="28"/>
          <w:szCs w:val="28"/>
        </w:rPr>
        <w:t>2.4. Образовательная программа разрабатывается образовательной организацией в соответствии с ФГОС СПО и с учетом ПОП и предполагает освоение следующих видов деятельности:</w:t>
      </w:r>
    </w:p>
    <w:p w14:paraId="15C87491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1724F044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создание визуализированного движения персонажа в анимационном произведении с использованием традиционных и современных технологий;</w:t>
      </w:r>
    </w:p>
    <w:p w14:paraId="5754A0BE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подготовка к созданию анимационных проектов и их постобработка с использованием диджитал-технологий;</w:t>
      </w:r>
    </w:p>
    <w:p w14:paraId="5640AA6B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организация процесса изготовления компьютерно-анимационного проекта;</w:t>
      </w:r>
    </w:p>
    <w:p w14:paraId="42EFCFE5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подготовка и обеспечение подготовительного периода анимационного кино (по выбору);</w:t>
      </w:r>
    </w:p>
    <w:p w14:paraId="3B4EEC9A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создание визуальных эффектов и компьютерной графики в анимационном кино (по выбору);</w:t>
      </w:r>
    </w:p>
    <w:p w14:paraId="76207EAF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производство трехмерного (3D) цифрового анимационного кино (по выбору);</w:t>
      </w:r>
    </w:p>
    <w:p w14:paraId="6A15D5DC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создание анимации для гейм-индустрии (по выбору);</w:t>
      </w:r>
    </w:p>
    <w:p w14:paraId="5B0EC663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разработка и создание моушн-дизайн контента (по выбору).</w:t>
      </w:r>
    </w:p>
    <w:p w14:paraId="473667D4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пункте 2.4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ФГОС СПО, в рамках вариативной части.</w:t>
      </w:r>
    </w:p>
    <w:p w14:paraId="63C13A81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 обучающихся.</w:t>
      </w:r>
    </w:p>
    <w:p w14:paraId="2D2A8F94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На проведение учебных занятий и практики должно быть выделено не менее 70 процентов от объема учебных циклов образовательной программы в очной форме обучения и не менее 25 процентов - в очно-заочной форме обучения.</w:t>
      </w:r>
    </w:p>
    <w:p w14:paraId="7EB4A97B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14:paraId="35155CAC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бережливого производства", "Основы финансовой грамотности".</w:t>
      </w:r>
    </w:p>
    <w:p w14:paraId="624759B3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Общий объем дисциплины "Безопасность жизнедеятельности" в очной форме обучения не может быть менее 68 академических часов, из них на освоение основ военной службы (для юношей) - не менее 48 академических часов; для подгрупп девушек это время может быть использовано на освоение основ медицинских знаний.</w:t>
      </w:r>
    </w:p>
    <w:p w14:paraId="32048786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14:paraId="058F112B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14:paraId="4E0AB699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2.8. Обязательная часть общепрофессионального цикла образовательной программы должна предусматривать изучение следующих дисциплин: "Информационное обеспечение профессиональной деятельности", "Рисунок с основами перспективы", "Живопись с основами цветоведения", "Технологии создания компьютерной анимации", "Основы композиционного построения в анимации", "История технологий и стилей в визуальном искусстве", "Охрана труда".</w:t>
      </w:r>
    </w:p>
    <w:p w14:paraId="4796B4B6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2.9. Профессиональный цикл образовательной программы включает профессиональные модули, которые формируются в соответствии с выбранными видами деятельности, предусмотренными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пунктом 2.4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8 зачетных единиц.</w:t>
      </w:r>
    </w:p>
    <w:p w14:paraId="4C552198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14AC8DB4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рассредоточенно, чередуясь с учебными занятиями. Типы практики устанавливаются образовательной организацией самостоятельно с учетом ПОП.</w:t>
      </w:r>
    </w:p>
    <w:p w14:paraId="1A5B9942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151BC980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08519136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лиц.</w:t>
      </w:r>
    </w:p>
    <w:p w14:paraId="1FA3B1B2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2.12. Государственная итоговая аттестация проводится в форме государственного экзамена и (или) защиты дипломного проекта (работы).</w:t>
      </w:r>
    </w:p>
    <w:p w14:paraId="153ED771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2.13. Государственная итоговая аттестация завершается присвоением квалификации специалиста среднего звена, указанной в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пункте 1.1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ФГОС СПО.</w:t>
      </w:r>
    </w:p>
    <w:p w14:paraId="14EB484A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584F171C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outlineLvl w:val="1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bookmarkStart w:id="6" w:name="P149"/>
      <w:bookmarkEnd w:id="6"/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III. ТРЕБОВАНИЯ К РЕЗУЛЬТАТАМ ОСВОЕНИЯ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ОБРАЗОВАТЕЛЬНОЙ ПРОГРАММЫ</w:t>
      </w:r>
    </w:p>
    <w:p w14:paraId="29402FF9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5D8BAFC0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14:paraId="3A35CB10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3.2. Выпускник, освоивший образовательную программу, должен обладать следующими общими компетенциями (далее - ОК):</w:t>
      </w:r>
    </w:p>
    <w:p w14:paraId="354A80AE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60174131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14:paraId="1BB8263C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2400E7A5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04. Эффективно взаимодействовать и работать в коллективе и команде;</w:t>
      </w:r>
    </w:p>
    <w:p w14:paraId="079DA713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05BCE55A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000F301B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5F8CEE81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740A9D80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09. Пользоваться профессиональной документацией на государственном и иностранном языках.</w:t>
      </w:r>
    </w:p>
    <w:p w14:paraId="3E48714E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выбранным видам деятельности (таблица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2), предусмотренным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пунктом 2.4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ФГОС СПО, сформированными в том числе на основе профессиональных стандартов (при наличии), указанных в ПОП:</w:t>
      </w:r>
    </w:p>
    <w:p w14:paraId="0D4365F2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0CFB5763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right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Таблица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2</w:t>
      </w:r>
    </w:p>
    <w:tbl>
      <w:tblPr>
        <w:tblStyle w:val="3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9"/>
        <w:gridCol w:w="7490"/>
      </w:tblGrid>
      <w:tr w14:paraId="707E2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1374" w:type="pct"/>
          </w:tcPr>
          <w:p w14:paraId="1B6E7FE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Виды деятельности</w:t>
            </w:r>
          </w:p>
        </w:tc>
        <w:tc>
          <w:tcPr>
            <w:tcW w:w="3625" w:type="pct"/>
          </w:tcPr>
          <w:p w14:paraId="33FB5916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Профессиональные компетенции, соответствующие видам деятельности</w:t>
            </w:r>
          </w:p>
        </w:tc>
      </w:tr>
      <w:tr w14:paraId="21BCE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1374" w:type="pct"/>
          </w:tcPr>
          <w:p w14:paraId="6031427F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3625" w:type="pct"/>
          </w:tcPr>
          <w:p w14:paraId="0DF2838B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14:paraId="58B2D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1374" w:type="pct"/>
          </w:tcPr>
          <w:p w14:paraId="432E4D76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создание визуализированного движения персонажа в анимационном произведении с использованием традиционных и современных технологий</w:t>
            </w:r>
          </w:p>
        </w:tc>
        <w:tc>
          <w:tcPr>
            <w:tcW w:w="3625" w:type="pct"/>
          </w:tcPr>
          <w:p w14:paraId="700F50BC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1.1. Определять образ анимационного персонажа, детально прорабатывать его движение и выразительные позы с помощью последовательных рисунков.</w:t>
            </w:r>
          </w:p>
          <w:p w14:paraId="52EFD4B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1.2. Определять образ анимационного персонажа, детально прорабатывать его движение и выразительные позы с помощью покадрового изменения положения частей компьютерной модели.</w:t>
            </w:r>
          </w:p>
          <w:p w14:paraId="6E75C7ED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1.3. Определять образ анимационного персонажа, детально прорабатывать его движение и выразительные позы с помощью покадрового движения частей куклы-перекладки.</w:t>
            </w:r>
          </w:p>
          <w:p w14:paraId="21A3AE29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1.4. Определять образ анимационного персонажа, детально прорабатывать его движение и выразительные позы с помощью покадровой съемки объемных предметов.</w:t>
            </w:r>
          </w:p>
          <w:p w14:paraId="3D20B39C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1.5. Определять образ анимационного персонажа, детально прорабатывать его движение и выразительные позы с помощью покадрового изменения частей компьютерной трехмерной модели.</w:t>
            </w:r>
          </w:p>
          <w:p w14:paraId="17997CE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1.6. Выставлять ключевые фазы и ключевые позы персонажа в соответствии с хронометражем раскадровки и аниматика.</w:t>
            </w:r>
          </w:p>
        </w:tc>
      </w:tr>
      <w:tr w14:paraId="5B879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1374" w:type="pct"/>
          </w:tcPr>
          <w:p w14:paraId="1FBB8081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подготовка к созданию анимационных проектов и их постобработка с использованием диджитал-технологий</w:t>
            </w:r>
          </w:p>
        </w:tc>
        <w:tc>
          <w:tcPr>
            <w:tcW w:w="3625" w:type="pct"/>
          </w:tcPr>
          <w:p w14:paraId="18028BA5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2.1. Создавать риг персонажей и их анимацию в технике компьютерной перекладки.</w:t>
            </w:r>
          </w:p>
          <w:p w14:paraId="4CF7C7B5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2.2. Выставлять персонажей анимационного кино, объектов и окружения в сцене под камеру.</w:t>
            </w:r>
          </w:p>
          <w:p w14:paraId="289F4D89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2.3. Выполнять монтаж, композитинг и постобработку анимационного кино.</w:t>
            </w:r>
          </w:p>
          <w:p w14:paraId="554476C8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2.4. Воплощать художественный замысел посредством графических и анимационных объектов.</w:t>
            </w:r>
          </w:p>
          <w:p w14:paraId="47F9A01B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2.5. Распределять этапы работы, использовать разработанные анимационные модели, настраивать освещение, накладывать текстуру.</w:t>
            </w:r>
          </w:p>
        </w:tc>
      </w:tr>
      <w:tr w14:paraId="4C8E3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1374" w:type="pct"/>
          </w:tcPr>
          <w:p w14:paraId="072AF721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организация процесса изготовления компьютерно-анимационного проекта</w:t>
            </w:r>
          </w:p>
        </w:tc>
        <w:tc>
          <w:tcPr>
            <w:tcW w:w="3625" w:type="pct"/>
          </w:tcPr>
          <w:p w14:paraId="1F839530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3.1. Разрабатывать конструкцию и технологическую последовательность изготовления компьютерно-анимационного проекта.</w:t>
            </w:r>
          </w:p>
          <w:p w14:paraId="356CDCC6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3.2. Моделировать художественно-колористическое решение анимационного проекта на основе референсов.</w:t>
            </w:r>
          </w:p>
          <w:p w14:paraId="797BE25C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3.3. Осуществлять процесс анимационного проектирования с учетом современных тенденций в области анимации.</w:t>
            </w:r>
          </w:p>
          <w:p w14:paraId="7402C27A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3.4. Организовывать работу исполнителей по созданию компьютерно-анимационного проекта.</w:t>
            </w:r>
          </w:p>
        </w:tc>
      </w:tr>
      <w:tr w14:paraId="06734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1374" w:type="pct"/>
          </w:tcPr>
          <w:p w14:paraId="5CA507D0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подготовка и обеспечение подготовительного периода анимационного кино (по выбору)</w:t>
            </w:r>
          </w:p>
        </w:tc>
        <w:tc>
          <w:tcPr>
            <w:tcW w:w="3625" w:type="pct"/>
          </w:tcPr>
          <w:p w14:paraId="0EE3FC5F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4.1. Конструировать визуальные образы анимационных персонажей.</w:t>
            </w:r>
          </w:p>
          <w:p w14:paraId="133800D3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4.2. Выполнять постановку анимационных персонажей, окружения в сцене, виртуальных камер и настройку их технических параметров для съемки сцен анимационного кино.</w:t>
            </w:r>
          </w:p>
          <w:p w14:paraId="63153F8A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4.3. Создавать предварительные ключевые позы и тайминг движений персонажей в соответствии с сюжетом анимационного кино.</w:t>
            </w:r>
          </w:p>
          <w:p w14:paraId="3DE32355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4.4. Определять методы и приемы съемки анимационного кино.</w:t>
            </w:r>
          </w:p>
          <w:p w14:paraId="71F0D036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4.5. Разрабатывать и согласовывать с режиссером и моделлером художественную концепцию отдельных объектов анимационного кино.</w:t>
            </w:r>
          </w:p>
          <w:p w14:paraId="2110923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4.6. Разрабатывать общую визуальную стилистику проекта в процессе создания анимационного кино.</w:t>
            </w:r>
          </w:p>
        </w:tc>
      </w:tr>
      <w:tr w14:paraId="796F5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1374" w:type="pct"/>
          </w:tcPr>
          <w:p w14:paraId="12C1E8B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создание визуальных эффектов и компьютерной графики в анимационном кино (по выбору)</w:t>
            </w:r>
          </w:p>
        </w:tc>
        <w:tc>
          <w:tcPr>
            <w:tcW w:w="3625" w:type="pct"/>
          </w:tcPr>
          <w:p w14:paraId="4A5E75E0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4.1. Создавать визуальные эффекты и компьютерную графику в анимационном кино.</w:t>
            </w:r>
          </w:p>
          <w:p w14:paraId="4689DC16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4.2. Создавать с помощью методов и алгоритмов физические свойства объектов в компьютерной графике.</w:t>
            </w:r>
          </w:p>
          <w:p w14:paraId="7F15E3F3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4.3. Настраивать освещение в трехмерных компьютерных сценах анимационного кино на основе мастер-сцен.</w:t>
            </w:r>
          </w:p>
          <w:p w14:paraId="54ED1429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4.4. Разрабатывать методы, алгоритмы и создавать подпрограммы для повышения качества, скорости и стабильности поточной визуализации трехмерных компьютерных сцен анимационного кино.</w:t>
            </w:r>
          </w:p>
          <w:p w14:paraId="6FC9805E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4.5. Выполнять компоновку и финальную постобработку результатов визуализации трехмерных компьютерных сцен анимационного кино на основе мастер-сцен.</w:t>
            </w:r>
          </w:p>
        </w:tc>
      </w:tr>
      <w:tr w14:paraId="7BFD3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1374" w:type="pct"/>
          </w:tcPr>
          <w:p w14:paraId="63D28865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производство трехмерного (3D) цифрового анимационного кино (по выбору)</w:t>
            </w:r>
          </w:p>
        </w:tc>
        <w:tc>
          <w:tcPr>
            <w:tcW w:w="3625" w:type="pct"/>
          </w:tcPr>
          <w:p w14:paraId="4BB1C25B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4.1. Создавать промежуточные и финальные высокодетализированные трехмерные компьютерные модели.</w:t>
            </w:r>
          </w:p>
          <w:p w14:paraId="50C10710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4.2. Создавать текстурные карты и маски для трехмерных компьютерных моделей анимационного кино.</w:t>
            </w:r>
          </w:p>
          <w:p w14:paraId="5675863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4.3. Создавать шейдеры и воплощать их предварительную визуализацию.</w:t>
            </w:r>
          </w:p>
          <w:p w14:paraId="1D6694FF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4.4. Создавать виртуальный волосяной покров на поверхности трехмерных компьютерных моделей и воплощать его визуализацию в анимационных фильмах.</w:t>
            </w:r>
          </w:p>
          <w:p w14:paraId="421B8135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4.5. Создавать компьютерные системы движений и деформаций, определять связи между участками их поверхности и частями виртуального скелета, создавать системы коррекции деформаций.</w:t>
            </w:r>
          </w:p>
        </w:tc>
      </w:tr>
      <w:tr w14:paraId="62CC7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1374" w:type="pct"/>
          </w:tcPr>
          <w:p w14:paraId="6BAAAC0B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создание анимации для гейм-индустрии (по выбору)</w:t>
            </w:r>
          </w:p>
        </w:tc>
        <w:tc>
          <w:tcPr>
            <w:tcW w:w="3625" w:type="pct"/>
          </w:tcPr>
          <w:p w14:paraId="0EBA4B9E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4.1. Создавать анимацию для компьютерных игр с применением специализированного программного обеспечения.</w:t>
            </w:r>
          </w:p>
          <w:p w14:paraId="725C7BB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4.2. Моделировать дизайн компьютерных игр с учетом требований современных тенденций в области дизайна и эргономичности пользовательского интерфейса.</w:t>
            </w:r>
          </w:p>
          <w:p w14:paraId="097797CF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4.3. Разрабатывать сценарий и вселенную игры с использованием геймдизайна и геймдевелопмента.</w:t>
            </w:r>
          </w:p>
          <w:p w14:paraId="66BE8634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4.4. Оптимизировать анимацию в компьютерных играх с применением программ для синтеза анимации и интерактивных функций.</w:t>
            </w:r>
          </w:p>
          <w:p w14:paraId="4EFEFE6B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4.5. Разрабатывать компьютерные игры с использованием межплатформенных сред, адаптировать анимацию под разные платформы</w:t>
            </w:r>
          </w:p>
          <w:p w14:paraId="75DA2BA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4.6. Организовывать работу исполнителей по созданию компьютерных игр.</w:t>
            </w:r>
          </w:p>
        </w:tc>
      </w:tr>
      <w:tr w14:paraId="16C78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1374" w:type="pct"/>
          </w:tcPr>
          <w:p w14:paraId="4AD3D65D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разработка и создание моушн-дизайн контента</w:t>
            </w:r>
          </w:p>
          <w:p w14:paraId="2586FCE6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(по выбору)</w:t>
            </w:r>
          </w:p>
        </w:tc>
        <w:tc>
          <w:tcPr>
            <w:tcW w:w="3625" w:type="pct"/>
          </w:tcPr>
          <w:p w14:paraId="17047E99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4.1. Проводить предпроектный анализ для разработки моушн-дизайн контента</w:t>
            </w:r>
          </w:p>
          <w:p w14:paraId="41DB66E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4.2. Осуществлять процесс проектирования моушн-дизайн контента с учетом современных тенденций.</w:t>
            </w:r>
          </w:p>
          <w:p w14:paraId="0C9DAB3A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4.3. Разрабатывать визуальное решение моушн-дизайн контента в соответствии с референсами и художественными требованиями проекта.</w:t>
            </w:r>
          </w:p>
          <w:p w14:paraId="3DF6569A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4.4. Создавать моушн-дизайн контент в современных техниках исполнения с применением специализированного программного обеспечения.</w:t>
            </w:r>
          </w:p>
          <w:p w14:paraId="18271C4A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4.5. Организовывать работу исполнителей по созданию программного моушн-дизайн контента.</w:t>
            </w:r>
          </w:p>
        </w:tc>
      </w:tr>
    </w:tbl>
    <w:p w14:paraId="4F24301F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19BFF8F7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пунктом 2.4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ФГОС СПО, а также по видам деятельности, сформированным в вариативной части образовательной программы для учета потребностей регионального рынка труда.</w:t>
      </w:r>
    </w:p>
    <w:p w14:paraId="74BF36B1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 w14:paraId="6D312DDB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2830BC1F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3.5. 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 w14:paraId="2B9F73A4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73CBFF8D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</w:t>
      </w:r>
    </w:p>
    <w:p w14:paraId="6260AA46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3.6. Обучающиеся, осваивающие образовательную программу, могут освоить также профессию рабочего (одну или несколько) в соответствии с перечнем профессий рабочих, должностей служащих, по которым осуществляется профессиональное обучение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6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.</w:t>
      </w:r>
    </w:p>
    <w:p w14:paraId="3A840934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564B9CF2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outlineLvl w:val="1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IV. ТРЕБОВАНИЯ К УСЛОВИЯМ РЕАЛИЗАЦИИ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ОБРАЗОВАТЕЛЬНОЙ ПРОГРАММЫ</w:t>
      </w:r>
    </w:p>
    <w:p w14:paraId="0C5E9016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76A518DB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7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.</w:t>
      </w:r>
    </w:p>
    <w:p w14:paraId="32A92C62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программы:</w:t>
      </w:r>
    </w:p>
    <w:p w14:paraId="666E568A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outlineLvl w:val="2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4.3. Общесистемные требования к условиям реализации образовательной программы:</w:t>
      </w:r>
    </w:p>
    <w:p w14:paraId="4BB82743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предусмотренных учебным планом, с учетом ПОП;</w:t>
      </w:r>
    </w:p>
    <w:p w14:paraId="4E94DEFE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(пп. "а" 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61B13BA7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14:paraId="4856833C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outlineLvl w:val="2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4.4. Требования к материально-техническому и учебно-методическому обеспечению реализации образовательной программы:</w:t>
      </w:r>
    </w:p>
    <w:p w14:paraId="33DC56EB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а) специальные помещения должны представлять собой учебные аудитории, лаборатории, учебные студии анимации,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 w14:paraId="38613CCA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14:paraId="114216E8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 w14:paraId="34A45994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г) допускается замена оборудования его виртуальными аналогами;</w:t>
      </w:r>
    </w:p>
    <w:p w14:paraId="4BE6EA29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14:paraId="3C80E3A4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14:paraId="58BFA8DF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ж)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 w14:paraId="5CEB2AB7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з)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14:paraId="11ACBB58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и)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 w14:paraId="774F577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к)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 w14:paraId="1367432E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л)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 w14:paraId="5652EC6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387009EF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outlineLvl w:val="2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4.5. Требования к кадровым условиям реализации образовательной программы:</w:t>
      </w:r>
    </w:p>
    <w:p w14:paraId="0AA1C50A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пункте 1.14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ФГОС СПО (имеющих стаж работы в данной профессиональной области не менее трех лет);</w:t>
      </w:r>
    </w:p>
    <w:p w14:paraId="1EAA39A5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14:paraId="7F79CEF6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одной области профессиональной деятельности, указанной в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пункте 1.14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14:paraId="7E3922E7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одной области профессиональной деятельности, указанной в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пункте 1.14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5 процентов.</w:t>
      </w:r>
    </w:p>
    <w:p w14:paraId="463BBA2D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outlineLvl w:val="2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4.6. Требование к финансовым условиям реализации образовательной программы:</w:t>
      </w:r>
    </w:p>
    <w:p w14:paraId="3C37178B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outlineLvl w:val="2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0734162E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8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и Федеральным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законом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от 29 декабря 2012 г.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273-ФЗ "Об образовании в Российской Федерации"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9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.</w:t>
      </w:r>
    </w:p>
    <w:p w14:paraId="092D1621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outlineLvl w:val="2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4.7. Требования к применяемым механизмам оценки качества образовательной программы:</w:t>
      </w:r>
    </w:p>
    <w:p w14:paraId="4462A3E5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14:paraId="06457C97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14:paraId="7E419C64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14:paraId="6DA804FD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(пп. "в" 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sectPr>
      <w:headerReference r:id="rId4" w:type="first"/>
      <w:footerReference r:id="rId6" w:type="first"/>
      <w:footerReference r:id="rId5" w:type="default"/>
      <w:pgSz w:w="11906" w:h="16838"/>
      <w:pgMar w:top="1440" w:right="566" w:bottom="1440" w:left="1133" w:header="0" w:footer="283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5A8A4C">
    <w:pPr>
      <w:pStyle w:val="7"/>
      <w:rPr>
        <w:rFonts w:hint="default" w:ascii="Times New Roman" w:hAnsi="Times New Roman" w:cs="Times New Roman"/>
        <w:color w:val="auto"/>
        <w:sz w:val="20"/>
        <w:szCs w:val="20"/>
      </w:rPr>
    </w:pPr>
    <w:r>
      <w:rPr>
        <w:rFonts w:hint="default" w:ascii="Times New Roman" w:hAnsi="Times New Roman" w:cs="Times New Roman"/>
        <w:color w:val="auto"/>
        <w:sz w:val="20"/>
        <w:szCs w:val="20"/>
        <w:lang w:val="ru-RU"/>
      </w:rPr>
      <w:t xml:space="preserve">ФГОС СПО </w:t>
    </w:r>
    <w:r>
      <w:rPr>
        <w:rFonts w:hint="default" w:ascii="Times New Roman" w:hAnsi="Times New Roman" w:cs="Times New Roman"/>
        <w:color w:val="auto"/>
        <w:sz w:val="20"/>
        <w:szCs w:val="20"/>
      </w:rPr>
      <w:t>55.02.02 Анимация и анимационное кино (по видам)</w:t>
    </w:r>
  </w:p>
  <w:p w14:paraId="0673923B">
    <w:pPr>
      <w:pStyle w:val="9"/>
      <w:keepNext w:val="0"/>
      <w:keepLines w:val="0"/>
      <w:pageBreakBefore w:val="0"/>
      <w:kinsoku/>
      <w:wordWrap/>
      <w:overflowPunct/>
      <w:topLinePunct w:val="0"/>
      <w:bidi w:val="0"/>
      <w:adjustRightInd/>
      <w:snapToGrid/>
      <w:spacing w:before="0" w:after="0" w:line="240" w:lineRule="auto"/>
      <w:jc w:val="both"/>
      <w:textAlignment w:val="auto"/>
    </w:pPr>
    <w:r>
      <w:rPr>
        <w:rFonts w:hint="default" w:ascii="Times New Roman" w:hAnsi="Times New Roman" w:cs="Times New Roman"/>
        <w:i w:val="0"/>
        <w:iCs w:val="0"/>
        <w:color w:val="auto"/>
        <w:sz w:val="20"/>
        <w:szCs w:val="20"/>
        <w:highlight w:val="none"/>
        <w:lang w:val="ru-RU"/>
      </w:rPr>
      <w:t xml:space="preserve">В документ внесены изменения </w:t>
    </w:r>
    <w:r>
      <w:rPr>
        <w:rFonts w:hint="default" w:ascii="Times New Roman" w:hAnsi="Times New Roman" w:cs="Times New Roman"/>
        <w:color w:val="auto"/>
        <w:sz w:val="20"/>
        <w:szCs w:val="20"/>
      </w:rPr>
      <w:t>Приказ</w:t>
    </w:r>
    <w:r>
      <w:rPr>
        <w:rFonts w:hint="default" w:ascii="Times New Roman" w:hAnsi="Times New Roman" w:cs="Times New Roman"/>
        <w:color w:val="auto"/>
        <w:sz w:val="20"/>
        <w:szCs w:val="20"/>
        <w:lang w:val="ru-RU"/>
      </w:rPr>
      <w:t>ом</w:t>
    </w:r>
    <w:r>
      <w:rPr>
        <w:rFonts w:hint="default" w:ascii="Times New Roman" w:hAnsi="Times New Roman" w:cs="Times New Roman"/>
        <w:color w:val="auto"/>
        <w:sz w:val="20"/>
        <w:szCs w:val="20"/>
      </w:rPr>
      <w:t xml:space="preserve"> Минпросвещения России от </w:t>
    </w:r>
    <w:r>
      <w:rPr>
        <w:rFonts w:hint="default" w:ascii="Times New Roman" w:hAnsi="Times New Roman" w:cs="Times New Roman"/>
        <w:color w:val="auto"/>
        <w:sz w:val="20"/>
        <w:szCs w:val="20"/>
        <w:lang w:val="ru-RU"/>
      </w:rPr>
      <w:t>0</w:t>
    </w:r>
    <w:r>
      <w:rPr>
        <w:rFonts w:hint="default" w:ascii="Times New Roman" w:hAnsi="Times New Roman" w:cs="Times New Roman"/>
        <w:color w:val="auto"/>
        <w:sz w:val="20"/>
        <w:szCs w:val="20"/>
      </w:rPr>
      <w:t>3.07.202</w:t>
    </w:r>
    <w:r>
      <w:rPr>
        <w:rFonts w:hint="default" w:ascii="Times New Roman" w:hAnsi="Times New Roman" w:cs="Times New Roman"/>
        <w:color w:val="auto"/>
        <w:sz w:val="20"/>
        <w:szCs w:val="20"/>
        <w:lang w:val="ru-RU"/>
      </w:rPr>
      <w:t>4</w:t>
    </w:r>
    <w:r>
      <w:rPr>
        <w:rFonts w:hint="default" w:ascii="Times New Roman" w:hAnsi="Times New Roman" w:cs="Times New Roman"/>
        <w:color w:val="auto"/>
        <w:sz w:val="20"/>
        <w:szCs w:val="20"/>
      </w:rPr>
      <w:t xml:space="preserve"> </w:t>
    </w:r>
    <w:r>
      <w:rPr>
        <w:rFonts w:hint="default" w:ascii="Times New Roman" w:hAnsi="Times New Roman" w:cs="Times New Roman"/>
        <w:color w:val="auto"/>
        <w:sz w:val="20"/>
        <w:szCs w:val="20"/>
        <w:lang w:val="ru-RU"/>
      </w:rPr>
      <w:t>№</w:t>
    </w:r>
    <w:r>
      <w:rPr>
        <w:rFonts w:hint="default" w:ascii="Times New Roman" w:hAnsi="Times New Roman" w:cs="Times New Roman"/>
        <w:color w:val="auto"/>
        <w:sz w:val="20"/>
        <w:szCs w:val="20"/>
      </w:rPr>
      <w:t xml:space="preserve"> 4</w:t>
    </w:r>
    <w:r>
      <w:rPr>
        <w:rFonts w:hint="default" w:ascii="Times New Roman" w:hAnsi="Times New Roman" w:cs="Times New Roman"/>
        <w:color w:val="auto"/>
        <w:sz w:val="20"/>
        <w:szCs w:val="20"/>
        <w:lang w:val="ru-RU"/>
      </w:rPr>
      <w:t>64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03162F">
    <w:pPr>
      <w:pBdr>
        <w:bottom w:val="single" w:color="auto" w:sz="12" w:space="0"/>
      </w:pBdr>
      <w:rPr>
        <w:sz w:val="2"/>
        <w:szCs w:val="2"/>
      </w:rPr>
    </w:pPr>
  </w:p>
  <w:tbl>
    <w:tblPr>
      <w:tblStyle w:val="3"/>
      <w:tblW w:w="5000" w:type="pct"/>
      <w:tblInd w:w="0" w:type="dxa"/>
      <w:tblLayout w:type="autofit"/>
      <w:tblCellMar>
        <w:top w:w="0" w:type="dxa"/>
        <w:left w:w="40" w:type="dxa"/>
        <w:bottom w:w="0" w:type="dxa"/>
        <w:right w:w="40" w:type="dxa"/>
      </w:tblCellMar>
    </w:tblPr>
    <w:tblGrid>
      <w:gridCol w:w="10287"/>
    </w:tblGrid>
    <w:tr w14:paraId="41D81376">
      <w:tblPrEx>
        <w:tblCellMar>
          <w:top w:w="0" w:type="dxa"/>
          <w:left w:w="40" w:type="dxa"/>
          <w:bottom w:w="0" w:type="dxa"/>
          <w:right w:w="40" w:type="dxa"/>
        </w:tblCellMar>
      </w:tblPrEx>
      <w:trPr>
        <w:trHeight w:val="1663" w:hRule="exact"/>
      </w:trPr>
      <w:tc>
        <w:tcPr>
          <w:tcW w:w="1650" w:type="pct"/>
          <w:gridSpan w:val="0"/>
          <w:vAlign w:val="center"/>
        </w:tcPr>
        <w:p w14:paraId="0776CBB1">
          <w:r>
            <w:rPr>
              <w:rFonts w:ascii="Tahoma" w:hAnsi="Tahoma" w:cs="Tahoma"/>
              <w:b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 w:type="textWrapping"/>
          </w:r>
          <w:r>
            <w:rPr>
              <w:rFonts w:ascii="Tahoma" w:hAnsi="Tahoma" w:cs="Tahoma"/>
              <w:b/>
              <w:sz w:val="16"/>
              <w:szCs w:val="16"/>
            </w:rPr>
            <w:t>надежная правовая поддержка</w:t>
          </w:r>
        </w:p>
      </w:tc>
      <w:tc>
        <w:tcPr>
          <w:tcW w:w="1700" w:type="pct"/>
          <w:vAlign w:val="center"/>
        </w:tcPr>
        <w:p w14:paraId="6C4FBF8C">
          <w:pPr>
            <w:jc w:val="center"/>
          </w:pPr>
          <w:r>
            <w:fldChar w:fldCharType="begin"/>
          </w:r>
          <w:r>
            <w:instrText xml:space="preserve"> HYPERLINK "https://www.consultant.ru" \h </w:instrText>
          </w:r>
          <w:r>
            <w:fldChar w:fldCharType="separate"/>
          </w:r>
          <w:r>
            <w:rPr>
              <w:rFonts w:ascii="Tahoma" w:hAnsi="Tahoma" w:cs="Tahoma"/>
              <w:b/>
              <w:color w:val="0000FF"/>
            </w:rPr>
            <w:t>www.co</w:t>
          </w:r>
          <w:r>
            <w:rPr>
              <w:rFonts w:ascii="Tahoma" w:hAnsi="Tahoma" w:cs="Tahoma"/>
              <w:b/>
              <w:color w:val="0000FF"/>
              <w:lang w:val="ru-RU"/>
            </w:rPr>
            <w:t>№</w:t>
          </w:r>
          <w:r>
            <w:rPr>
              <w:rFonts w:ascii="Tahoma" w:hAnsi="Tahoma" w:cs="Tahoma"/>
              <w:b/>
              <w:color w:val="0000FF"/>
            </w:rPr>
            <w:t>sulta</w:t>
          </w:r>
          <w:r>
            <w:rPr>
              <w:rFonts w:ascii="Tahoma" w:hAnsi="Tahoma" w:cs="Tahoma"/>
              <w:b/>
              <w:color w:val="0000FF"/>
              <w:lang w:val="ru-RU"/>
            </w:rPr>
            <w:t>№</w:t>
          </w:r>
          <w:r>
            <w:rPr>
              <w:rFonts w:ascii="Tahoma" w:hAnsi="Tahoma" w:cs="Tahoma"/>
              <w:b/>
              <w:color w:val="0000FF"/>
            </w:rPr>
            <w:t>t.ru</w:t>
          </w:r>
          <w:r>
            <w:rPr>
              <w:rFonts w:ascii="Tahoma" w:hAnsi="Tahoma" w:cs="Tahoma"/>
              <w:b/>
              <w:color w:val="0000FF"/>
            </w:rPr>
            <w:fldChar w:fldCharType="end"/>
          </w:r>
        </w:p>
      </w:tc>
      <w:tc>
        <w:tcPr>
          <w:tcW w:w="1650" w:type="pct"/>
          <w:gridSpan w:val="0"/>
          <w:vAlign w:val="center"/>
        </w:tcPr>
        <w:p w14:paraId="07FDBDCE"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>5</w:t>
          </w:r>
          <w:r>
            <w:fldChar w:fldCharType="end"/>
          </w:r>
        </w:p>
      </w:tc>
    </w:tr>
  </w:tbl>
  <w:p w14:paraId="5266459A"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0">
    <w:p>
      <w:r>
        <w:separator/>
      </w:r>
    </w:p>
  </w:footnote>
  <w:footnote w:type="continuationSeparator" w:id="21">
    <w:p>
      <w:r>
        <w:continuationSeparator/>
      </w:r>
    </w:p>
  </w:footnote>
  <w:footnote w:id="0">
    <w:p w14:paraId="59308B0E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firstLine="540"/>
        <w:jc w:val="both"/>
        <w:textAlignment w:val="auto"/>
        <w:rPr>
          <w:sz w:val="20"/>
          <w:szCs w:val="20"/>
        </w:rPr>
      </w:pPr>
      <w:r>
        <w:rPr>
          <w:rStyle w:val="4"/>
          <w:sz w:val="28"/>
          <w:szCs w:val="28"/>
        </w:rPr>
        <w:footnoteRef/>
      </w:r>
      <w:r>
        <w:rPr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Перечень специальностей среднего профессионального образования, утвержденный приказом Министерства просвещения Российской Федерации от 17 мая 2022 г.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336 (зарегистрирован Министерством юстиции Российской Федерации 17 июня 2022 г., регистрационный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68887).</w:t>
      </w:r>
    </w:p>
  </w:footnote>
  <w:footnote w:id="1">
    <w:p w14:paraId="7912BED3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firstLine="540"/>
        <w:jc w:val="both"/>
        <w:textAlignment w:val="auto"/>
        <w:rPr>
          <w:sz w:val="20"/>
          <w:szCs w:val="20"/>
        </w:rPr>
      </w:pPr>
      <w:r>
        <w:rPr>
          <w:rStyle w:val="4"/>
          <w:sz w:val="28"/>
          <w:szCs w:val="28"/>
        </w:rPr>
        <w:footnoteRef/>
      </w:r>
      <w:r>
        <w:rPr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413 (зарегистрирован Министерством юстиции Российской Федерации 7 июня 2012 г., регистрационный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24480), с изменениями, внесенными приказами Министерства образования и науки Российской Федерации от 29 декабря 2014 г.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1645 (зарегистрирован Министерством юстиции Российской Федерации 9 февраля 2015 г., регистрационный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35953), от 31 декабря 2015 г.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1578 (зарегистрирован Министерством юстиции Российской Федерации 9 февраля 2016 г., регистрационный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41020), от 29 июня 2017 г.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613 (зарегистрирован Министерством юстиции Российской Федерации 26 июля 2017 г., регистрационный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47532), приказами Министерства просвещения Российской Федерации от 24 сентября 2020 г.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519 (зарегистрирован Министерством юстиции Российской Федерации 23 декабря 2020 г., регистрационный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61749), от 11 декабря 2020 г.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712 (зарегистрирован Министерством юстиции Российской Федерации 25 декабря 2020 г., регистрационный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61828), от 12 августа 2022 г.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732 (зарегистрирован Министерством юстиции Российской Федерации 12 сентября 2022 г., регистрационный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70034) и от 27 декабря 2023 г.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1028 (зарегистрирован Министерством юстиции Российской Федерации 2 февраля 2024 г., регистрационный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77121).(в ред. Приказа Минпросвещения России от 03.07.2024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464)</w:t>
      </w:r>
    </w:p>
  </w:footnote>
  <w:footnote w:id="2">
    <w:p w14:paraId="74AA14ED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firstLine="540"/>
        <w:jc w:val="both"/>
        <w:textAlignment w:val="auto"/>
        <w:rPr>
          <w:sz w:val="20"/>
          <w:szCs w:val="20"/>
        </w:rPr>
      </w:pPr>
      <w:r>
        <w:rPr>
          <w:rStyle w:val="4"/>
          <w:sz w:val="28"/>
          <w:szCs w:val="28"/>
        </w:rPr>
        <w:footnoteRef/>
      </w:r>
      <w:r>
        <w:rPr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Часть 2 статьи 12.1 Федерального закона от 29 декабря 2012 г.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273-ФЗ "Об образовании в Российской Федерации" (Собрание законодательства Российской Федерации, 2012,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53, ст. 7598; 2022,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39, ст. 6541).</w:t>
      </w:r>
    </w:p>
  </w:footnote>
  <w:footnote w:id="3">
    <w:p w14:paraId="66FEDD28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firstLine="540"/>
        <w:jc w:val="both"/>
        <w:textAlignment w:val="auto"/>
        <w:rPr>
          <w:sz w:val="20"/>
          <w:szCs w:val="20"/>
        </w:rPr>
      </w:pPr>
      <w:r>
        <w:rPr>
          <w:rStyle w:val="4"/>
          <w:sz w:val="28"/>
          <w:szCs w:val="28"/>
        </w:rPr>
        <w:footnoteRef/>
      </w:r>
      <w:r>
        <w:rPr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Статья 14 Федерального закона от 29 декабря 2012 г.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273-ФЗ "Об образовании в Российской Федерации" (Собрание законодательства Российской Федерации, 2012,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53, ст. 7598; 2018,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32, ст. 5110).</w:t>
      </w:r>
    </w:p>
  </w:footnote>
  <w:footnote w:id="4">
    <w:p w14:paraId="3F1420C2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firstLine="540"/>
        <w:jc w:val="both"/>
        <w:textAlignment w:val="auto"/>
        <w:rPr>
          <w:sz w:val="20"/>
          <w:szCs w:val="20"/>
        </w:rPr>
      </w:pPr>
      <w:r>
        <w:rPr>
          <w:rStyle w:val="4"/>
          <w:sz w:val="28"/>
          <w:szCs w:val="28"/>
        </w:rPr>
        <w:footnoteRef/>
      </w:r>
      <w:r>
        <w:rPr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Пункт 11 Положения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утвержденного постановлением Правительства Российской Федерации от 16 марта 2022 г.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387 (Собрание законодательства Российской Федерации, 2022,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12, ст. 1871), действующим до 1 января 2026 г.</w:t>
      </w:r>
    </w:p>
  </w:footnote>
  <w:footnote w:id="5">
    <w:p w14:paraId="285C6167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firstLine="540"/>
        <w:jc w:val="both"/>
        <w:textAlignment w:val="auto"/>
        <w:rPr>
          <w:sz w:val="20"/>
          <w:szCs w:val="20"/>
        </w:rPr>
      </w:pPr>
      <w:r>
        <w:rPr>
          <w:rStyle w:val="4"/>
          <w:sz w:val="28"/>
          <w:szCs w:val="28"/>
        </w:rPr>
        <w:footnoteRef/>
      </w:r>
      <w:r>
        <w:rPr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Таблица приложения к приказу Министерства труда и социальной защиты Российской Федерации от 29 сентября 2014 г.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34779) с изменением, внесенным приказом Министерства труда и социальной защиты Российской Федерации от 9 марта 2017 г.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254н (зарегистрирован Министерством юстиции Российской Федерации 29 марта 2017 г., регистрационный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46168).</w:t>
      </w:r>
    </w:p>
  </w:footnote>
  <w:footnote w:id="6">
    <w:p w14:paraId="6101D68B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firstLine="540"/>
        <w:jc w:val="both"/>
        <w:textAlignment w:val="auto"/>
        <w:rPr>
          <w:sz w:val="20"/>
          <w:szCs w:val="20"/>
        </w:rPr>
      </w:pPr>
      <w:r>
        <w:rPr>
          <w:rStyle w:val="4"/>
          <w:sz w:val="28"/>
          <w:szCs w:val="28"/>
        </w:rPr>
        <w:footnoteRef/>
      </w:r>
      <w:r>
        <w:rPr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Часть 7 статьи 73 Федерального закона от 29 декабря 2012 г.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273-ФЗ "Об образовании в Российской Федерации" (Собрание законодательства Российской Федерации, 2012,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53, ст. 7598; 2020,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22, ст. 3379).</w:t>
      </w:r>
    </w:p>
  </w:footnote>
  <w:footnote w:id="7">
    <w:p w14:paraId="49BB2B48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firstLine="540"/>
        <w:jc w:val="both"/>
        <w:textAlignment w:val="auto"/>
        <w:rPr>
          <w:sz w:val="20"/>
          <w:szCs w:val="20"/>
        </w:rPr>
      </w:pPr>
      <w:r>
        <w:rPr>
          <w:rStyle w:val="4"/>
          <w:sz w:val="28"/>
          <w:szCs w:val="28"/>
        </w:rPr>
        <w:footnoteRef/>
      </w:r>
      <w:r>
        <w:rPr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Федеральный закон от 30 марта 1999 г.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52-ФЗ "О санитарно-эпидемиологическом благополучии населения" (Собрание законодательства Российской Федерации, 1999,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14, ст. 1650; 2022,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45, ст. 7674); санитарные правила СП 2.4.3648-20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28 (зарегистрировано Министерством юстиции Российской Федерации 18 декабря 2020 г., регистрационный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61573), действующим до 1 января 2027 г.; санитарно-эпидемиологические правила и нормы СанПиН 2.3/2.4.3590-20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32 (зарегистрировано Министерством юстиции Российской Федерации 11 ноября 2020 г., регистрационный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60833), действующим до 1 января 2027 г.; санитарные правила и нормы СанПиН 1.2.3685-21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 (зарегистрировано Министерством юстиции Российской Федерации 29 января 2021 г., регистрационный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62296), действующим до 1 марта 2027 г.</w:t>
      </w:r>
    </w:p>
  </w:footnote>
  <w:footnote w:id="8">
    <w:p w14:paraId="007FB522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firstLine="540"/>
        <w:jc w:val="both"/>
        <w:textAlignment w:val="auto"/>
        <w:rPr>
          <w:sz w:val="20"/>
          <w:szCs w:val="20"/>
        </w:rPr>
      </w:pPr>
      <w:r>
        <w:rPr>
          <w:rStyle w:val="4"/>
          <w:sz w:val="28"/>
          <w:szCs w:val="28"/>
        </w:rPr>
        <w:footnoteRef/>
      </w:r>
      <w:r>
        <w:rPr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Бюджетный кодекс Российской Федерации (Собрание законодательства Российской Федерации, 1998,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31, ст. 3823; 2022,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48, ст. 8315).</w:t>
      </w:r>
    </w:p>
  </w:footnote>
  <w:footnote w:id="9">
    <w:p w14:paraId="2558C7EF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firstLine="540"/>
        <w:jc w:val="both"/>
        <w:textAlignment w:val="auto"/>
        <w:rPr>
          <w:sz w:val="20"/>
          <w:szCs w:val="20"/>
        </w:rPr>
      </w:pPr>
      <w:r>
        <w:rPr>
          <w:rStyle w:val="4"/>
          <w:sz w:val="28"/>
          <w:szCs w:val="28"/>
        </w:rPr>
        <w:footnoteRef/>
      </w:r>
      <w:r>
        <w:rPr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Собрание законодательства Российской Федерации, 2012,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53, ст. 7598; 2022,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50, ст. 8792.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5000" w:type="pct"/>
      <w:tblInd w:w="0" w:type="dxa"/>
      <w:tblLayout w:type="fixed"/>
      <w:tblCellMar>
        <w:top w:w="0" w:type="dxa"/>
        <w:left w:w="40" w:type="dxa"/>
        <w:bottom w:w="0" w:type="dxa"/>
        <w:right w:w="40" w:type="dxa"/>
      </w:tblCellMar>
    </w:tblPr>
    <w:tblGrid>
      <w:gridCol w:w="5144"/>
      <w:gridCol w:w="5144"/>
    </w:tblGrid>
    <w:tr w14:paraId="689DF9D5">
      <w:tblPrEx>
        <w:tblCellMar>
          <w:top w:w="0" w:type="dxa"/>
          <w:left w:w="40" w:type="dxa"/>
          <w:bottom w:w="0" w:type="dxa"/>
          <w:right w:w="40" w:type="dxa"/>
        </w:tblCellMar>
      </w:tblPrEx>
      <w:trPr>
        <w:trHeight w:val="1683" w:hRule="exact"/>
      </w:trPr>
      <w:tc>
        <w:tcPr>
          <w:tcW w:w="2700" w:type="pct"/>
          <w:vAlign w:val="center"/>
        </w:tcPr>
        <w:p w14:paraId="0BAEDB55"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Минпросвещения России от 12.12.2022 </w:t>
          </w:r>
          <w:r>
            <w:rPr>
              <w:rFonts w:ascii="Tahoma" w:hAnsi="Tahoma" w:cs="Tahoma"/>
              <w:sz w:val="16"/>
              <w:szCs w:val="16"/>
              <w:lang w:val="ru-RU"/>
            </w:rPr>
            <w:t>№</w:t>
          </w:r>
          <w:r>
            <w:rPr>
              <w:rFonts w:ascii="Tahoma" w:hAnsi="Tahoma" w:cs="Tahoma"/>
              <w:sz w:val="16"/>
              <w:szCs w:val="16"/>
            </w:rPr>
            <w:t xml:space="preserve"> 1098</w:t>
          </w:r>
          <w:r>
            <w:rPr>
              <w:rFonts w:ascii="Tahoma" w:hAnsi="Tahoma" w:cs="Tahoma"/>
              <w:sz w:val="16"/>
              <w:szCs w:val="16"/>
            </w:rPr>
            <w:br w:type="textWrapping"/>
          </w:r>
          <w:r>
            <w:rPr>
              <w:rFonts w:ascii="Tahoma" w:hAnsi="Tahoma" w:cs="Tahoma"/>
              <w:sz w:val="16"/>
              <w:szCs w:val="16"/>
            </w:rPr>
            <w:t>(ред. от 03.07.2024)</w:t>
          </w:r>
          <w:r>
            <w:rPr>
              <w:rFonts w:ascii="Tahoma" w:hAnsi="Tahoma" w:cs="Tahoma"/>
              <w:sz w:val="16"/>
              <w:szCs w:val="16"/>
            </w:rPr>
            <w:br w:type="textWrapping"/>
          </w:r>
          <w:r>
            <w:rPr>
              <w:rFonts w:ascii="Tahoma" w:hAnsi="Tahoma" w:cs="Tahoma"/>
              <w:sz w:val="16"/>
              <w:szCs w:val="16"/>
            </w:rPr>
            <w:t>"Об утверждении федерального государственного обр...</w:t>
          </w:r>
        </w:p>
      </w:tc>
      <w:tc>
        <w:tcPr>
          <w:tcW w:w="2300" w:type="pct"/>
          <w:vAlign w:val="center"/>
        </w:tcPr>
        <w:p w14:paraId="0E266A4F"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r>
            <w:fldChar w:fldCharType="begin"/>
          </w:r>
          <w:r>
            <w:instrText xml:space="preserve"> HYPERLINK "https://www.consultant.ru" \o "КонсультантПлюс - надежная правовая система" \h </w:instrText>
          </w:r>
          <w:r>
            <w:fldChar w:fldCharType="separate"/>
          </w:r>
          <w:r>
            <w:rPr>
              <w:rFonts w:ascii="Tahoma" w:hAnsi="Tahoma" w:cs="Tahoma"/>
              <w:color w:val="0000FF"/>
              <w:sz w:val="18"/>
              <w:szCs w:val="18"/>
            </w:rPr>
            <w:t>КонсультантПлюс</w:t>
          </w:r>
          <w:r>
            <w:rPr>
              <w:rFonts w:ascii="Tahoma" w:hAnsi="Tahoma" w:cs="Tahoma"/>
              <w:color w:val="0000FF"/>
              <w:sz w:val="18"/>
              <w:szCs w:val="18"/>
            </w:rPr>
            <w:fldChar w:fldCharType="end"/>
          </w:r>
          <w:r>
            <w:rPr>
              <w:rFonts w:ascii="Tahoma" w:hAnsi="Tahoma" w:cs="Tahoma"/>
              <w:sz w:val="18"/>
              <w:szCs w:val="18"/>
            </w:rPr>
            <w:br w:type="textWrapping"/>
          </w:r>
          <w:r>
            <w:rPr>
              <w:rFonts w:ascii="Tahoma" w:hAnsi="Tahoma" w:cs="Tahoma"/>
              <w:sz w:val="16"/>
              <w:szCs w:val="16"/>
            </w:rPr>
            <w:t>Дата сохранения: 21.09.2025</w:t>
          </w:r>
        </w:p>
      </w:tc>
    </w:tr>
  </w:tbl>
  <w:p w14:paraId="67A55388">
    <w:pPr>
      <w:pBdr>
        <w:bottom w:val="single" w:color="auto" w:sz="12" w:space="0"/>
      </w:pBdr>
      <w:rPr>
        <w:sz w:val="2"/>
        <w:szCs w:val="2"/>
      </w:rPr>
    </w:pPr>
  </w:p>
  <w:p w14:paraId="219749D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footnotePr>
    <w:footnote w:id="20"/>
    <w:footnote w:id="21"/>
  </w:footnotePr>
  <w:compat>
    <w:splitPgBreakAndParaMark/>
    <w:compatSetting w:name="compatibilityMode" w:uri="http://schemas.microsoft.com/office/word" w:val="12"/>
  </w:compat>
  <w:rsids>
    <w:rsidRoot w:val="00000000"/>
    <w:rsid w:val="77E86B6B"/>
    <w:rsid w:val="7EB862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iPriority w:val="0"/>
    <w:rPr>
      <w:vertAlign w:val="superscript"/>
    </w:rPr>
  </w:style>
  <w:style w:type="paragraph" w:styleId="5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</w:pPr>
  </w:style>
  <w:style w:type="table" w:styleId="8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ConsPlusNormal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0">
    <w:name w:val="ConsPlusNonformat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11">
    <w:name w:val="ConsPlusTitle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Arial" w:hAnsi="Arial" w:cs="Arial"/>
      <w:b/>
      <w:sz w:val="24"/>
      <w:lang w:val="ru-RU" w:eastAsia="ru-RU" w:bidi="ar-SA"/>
    </w:rPr>
  </w:style>
  <w:style w:type="paragraph" w:customStyle="1" w:styleId="12">
    <w:name w:val="ConsPlusCell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13">
    <w:name w:val="ConsPlusDocList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18"/>
      <w:lang w:val="ru-RU" w:eastAsia="ru-RU" w:bidi="ar-SA"/>
    </w:rPr>
  </w:style>
  <w:style w:type="paragraph" w:customStyle="1" w:styleId="14">
    <w:name w:val="ConsPlusTitlePage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20"/>
      <w:lang w:val="ru-RU" w:eastAsia="ru-RU" w:bidi="ar-SA"/>
    </w:rPr>
  </w:style>
  <w:style w:type="paragraph" w:customStyle="1" w:styleId="15">
    <w:name w:val="ConsPlusJurTerm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26"/>
      <w:lang w:val="ru-RU" w:eastAsia="ru-RU" w:bidi="ar-SA"/>
    </w:rPr>
  </w:style>
  <w:style w:type="paragraph" w:customStyle="1" w:styleId="16">
    <w:name w:val="ConsPlusTextList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7">
    <w:name w:val="ConsPlusTextList1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8">
    <w:name w:val="ConsPlusNormal1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9">
    <w:name w:val="ConsPlusNonformat1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0">
    <w:name w:val="ConsPlusTitle1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Arial" w:hAnsi="Arial" w:cs="Arial"/>
      <w:b/>
      <w:sz w:val="24"/>
      <w:lang w:val="ru-RU" w:eastAsia="ru-RU" w:bidi="ar-SA"/>
    </w:rPr>
  </w:style>
  <w:style w:type="paragraph" w:customStyle="1" w:styleId="21">
    <w:name w:val="ConsPlusCell1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2">
    <w:name w:val="ConsPlusDocList1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18"/>
      <w:lang w:val="ru-RU" w:eastAsia="ru-RU" w:bidi="ar-SA"/>
    </w:rPr>
  </w:style>
  <w:style w:type="paragraph" w:customStyle="1" w:styleId="23">
    <w:name w:val="ConsPlusTitlePage1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20"/>
      <w:lang w:val="ru-RU" w:eastAsia="ru-RU" w:bidi="ar-SA"/>
    </w:rPr>
  </w:style>
  <w:style w:type="paragraph" w:customStyle="1" w:styleId="24">
    <w:name w:val="ConsPlusJurTerm1"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26"/>
      <w:lang w:val="ru-RU" w:eastAsia="ru-RU" w:bidi="ar-SA"/>
    </w:rPr>
  </w:style>
  <w:style w:type="paragraph" w:customStyle="1" w:styleId="25">
    <w:name w:val="ConsPlusTextList2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26">
    <w:name w:val="ConsPlusTextList3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ScaleCrop>false</ScaleCrop>
  <LinksUpToDate>false</LinksUpToDate>
  <TotalTime>7</TotalTime>
  <Pages>20</Pages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2025-09-21T18:54:00Z</dcterms:created>
  <dcterms:modified xsi:type="dcterms:W3CDTF">2025-09-23T09:48:49Z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BD9DAB3E4E3B4A62AEE938218CCE84E0_12</vt:lpwstr>
  </property>
</Properties>
</file>