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1408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28" w:lineRule="auto"/>
        <w:jc w:val="right"/>
        <w:textAlignment w:val="auto"/>
        <w:outlineLvl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Зарегистрировано в Минюсте России 19 сентября 2022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70140</w:t>
      </w:r>
    </w:p>
    <w:p w14:paraId="25DAEA48">
      <w:pPr>
        <w:pStyle w:val="9"/>
        <w:keepNext w:val="0"/>
        <w:keepLines w:val="0"/>
        <w:pageBreakBefore w:val="0"/>
        <w:pBdr>
          <w:bottom w:val="single" w:color="auto" w:sz="6" w:space="0"/>
        </w:pBdr>
        <w:kinsoku/>
        <w:wordWrap/>
        <w:overflowPunct/>
        <w:topLinePunct w:val="0"/>
        <w:bidi w:val="0"/>
        <w:adjustRightInd/>
        <w:snapToGrid/>
        <w:spacing w:before="0" w:after="0" w:line="228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E2302B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28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B51F74F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28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МИНИСТЕРСТВО ПРОСВЕЩЕНИЯ</w:t>
      </w:r>
    </w:p>
    <w:p w14:paraId="307C76BC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28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РОССИЙСКОЙ ФЕДЕРАЦИИ</w:t>
      </w:r>
    </w:p>
    <w:p w14:paraId="57250E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="145" w:afterLines="40" w:line="228" w:lineRule="auto"/>
        <w:ind w:leftChars="0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(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МИНПРОСВЕЩЕНИЯ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РОССИИ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)</w:t>
      </w:r>
    </w:p>
    <w:p w14:paraId="10D27943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28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3CFAA0B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28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Р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К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З</w:t>
      </w:r>
    </w:p>
    <w:p w14:paraId="393A40AD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28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5212"/>
      </w:tblGrid>
      <w:tr w14:paraId="5979D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64B5DF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28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17 августа 2022 г.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14:paraId="1128841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28" w:lineRule="auto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749</w:t>
            </w:r>
          </w:p>
        </w:tc>
      </w:tr>
    </w:tbl>
    <w:p w14:paraId="147327B0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28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Москва</w:t>
      </w:r>
    </w:p>
    <w:p w14:paraId="261D4B0A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28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EF17D02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28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б утверждении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федерального государственного образовательного</w:t>
      </w:r>
    </w:p>
    <w:p w14:paraId="68BFE8D4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28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среднего профессионального образования по профессии</w:t>
      </w:r>
    </w:p>
    <w:p w14:paraId="439D0F4B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28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35.01.25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ператор-станочник деревообрабатывающего оборудования</w:t>
      </w:r>
    </w:p>
    <w:p w14:paraId="619AC709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28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B22B6E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 соответствии с подпунктом 4.2.30 пункта 4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884 (Собрание законодательства Российской Федерации, 2018,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32, ст. 5343), и пунктом 27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434 (Собрание законодательства Российской Федерации, 2019,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16, ст. 1942), приказываю:</w:t>
      </w:r>
    </w:p>
    <w:p w14:paraId="070D7411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Утвердить прилагаемый федеральный государственный образовательный стандарт среднего профессионального образования по профессии 35.01.25 Оператор-станочник деревообрабатывающего оборудования (далее - стандарт).</w:t>
      </w:r>
    </w:p>
    <w:p w14:paraId="464F7B2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 Установить, что:</w:t>
      </w:r>
    </w:p>
    <w:p w14:paraId="36B0C7B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образовательная организация вправе осуществлять в соответствии со стандартом обучение лиц, зачисленных до вступления в силу настоящего приказа, с их согласия;</w:t>
      </w:r>
    </w:p>
    <w:p w14:paraId="2E923D3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прием на обучение в соответствии с федеральным государственным образовательным стандартом среднего профессионального образования по профессии 250401.03 Станочник деревообрабатывающих станков, утвержденным приказом Министерства образования и науки Российской Федерации от 2 августа 2013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752 (зарегистрирован Министерством юстиции Российской Федерации 20 августа 2013 г., регистрационный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29647), с изменениями, внесенными приказом Министерства образования и науки Российской Федерации от 9 апреля 2015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390 (зарегистрирован Министерством юстиции Российской Федерации 8 мая 2015 г., регистрационный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37199) и приказом Министерства просвещения Российской Федерации от 13 июля 2021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450 (зарегистрирован Министерством юстиции Российской Федерации 14 октября 2021 г., регистрационный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65410), федеральным государственным образовательным стандартом среднего профессионального образования по профессии 250401.02 Станочник-обработчик, утвержденным приказом Министерства образования и науки Российской Федерации от 2 августа 2013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753 (зарегистрирован Министерством юстиции Российской Федерации 20 августа 2013 г., регистрационный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29752), с изменениями, внесенными приказом Министерства просвещения Российской Федерации от 13 июля 2021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450 (зарегистрирован Министерством юстиции Российской Федерации 14 октября 2021 г., регистрационный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65410), федеральным государственным образовательным стандартом среднего профессионального образования по профессии 250401.01 Оператор линий и установок в деревообработке, утвержденным приказом Министерства образования и науки Российской Федерации от 2 августа 2013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754 (зарегистрирован Министерством юстиции Российской Федерации 20 августа 2013 г., регистрационный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29728), с изменениями, внесенными приказом Министерства образования и науки Российской Федерации от 9 апреля 2015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390 (зарегистрирован Министерством юстиции Российской Федерации 8 мая 2015 г., регистрационный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37199) и приказом Министерства просвещения Российской Федерации от 13 июля 2021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450 (зарегистрирован Министерством юстиции Российской Федерации 14 октября 2021 г., регистрационный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65410), прекращается с 31 декабря 2022 года.</w:t>
      </w:r>
    </w:p>
    <w:p w14:paraId="3D467AB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BF0450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Исполняющий обязанности Министра</w:t>
      </w:r>
    </w:p>
    <w:p w14:paraId="08C7AD0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А.В.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Николаев</w:t>
      </w:r>
    </w:p>
    <w:p w14:paraId="22336404">
      <w:pPr>
        <w:pStyle w:val="9"/>
        <w:keepNext w:val="0"/>
        <w:keepLines w:val="0"/>
        <w:pageBreakBefore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4418" w:leftChars="2104" w:firstLine="0" w:firstLineChars="0"/>
        <w:jc w:val="center"/>
        <w:textAlignment w:val="auto"/>
        <w:outlineLvl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Приложение</w:t>
      </w:r>
    </w:p>
    <w:p w14:paraId="6C96AED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418" w:leftChars="2104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689F61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418" w:leftChars="2104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УТВЕРЖДЕН</w:t>
      </w:r>
    </w:p>
    <w:p w14:paraId="48FE688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418" w:leftChars="2104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приказом Министерства просвещения</w:t>
      </w:r>
    </w:p>
    <w:p w14:paraId="04FBA56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418" w:leftChars="2104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Российской Федерации</w:t>
      </w:r>
    </w:p>
    <w:p w14:paraId="5F2CC07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418" w:leftChars="2104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от 17 августа 2022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749</w:t>
      </w:r>
    </w:p>
    <w:p w14:paraId="58A8B53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303BB70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bookmarkStart w:id="0" w:name="P37"/>
      <w:bookmarkEnd w:id="0"/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ФЕДЕРАЛЬНЫЙ ГОСУДАРСТВЕННЫЙ ОБРАЗОВАТЕЛЬНЫЙ</w:t>
      </w:r>
    </w:p>
    <w:p w14:paraId="6BB62DBB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СТАНДАРТ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СРЕДНЕГО ПРОФЕССИОНАЛЬНОГО ОБРАЗОВАНИЯ</w:t>
      </w:r>
    </w:p>
    <w:p w14:paraId="3CC86825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ПО ПРОФЕССИИ 35.01.25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ОПЕРАТОР-СТАНОЧНИК ДЕРЕВООБРАБАТЫВАЮЩЕГО ОБОРУДОВАНИЯ</w:t>
      </w:r>
    </w:p>
    <w:p w14:paraId="4C96B2B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9A3CC99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I. ОБЩИЕ ПОЛОЖЕНИЯ</w:t>
      </w:r>
    </w:p>
    <w:p w14:paraId="01280A1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4071C7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1" w:name="P46"/>
      <w:bookmarkEnd w:id="1"/>
      <w:r>
        <w:rPr>
          <w:rFonts w:hint="default" w:ascii="Times New Roman" w:hAnsi="Times New Roman" w:cs="Times New Roman"/>
          <w:color w:val="auto"/>
          <w:sz w:val="28"/>
          <w:szCs w:val="28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35.01.25 Оператор-станочник деревообрабатывающего оборудования (далее соответственно - ФГОС СПО, образовательная программа, профессия) в соответствии с квалификацией квалифицированного рабочего, служащего "оператор-станочник"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0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6A07FFD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14:paraId="4A3623D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государственного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образовательного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стандарта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среднего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общего</w:t>
      </w:r>
    </w:p>
    <w:p w14:paraId="72FF69F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F4E56B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662F3F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2EB1F4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образования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1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, ФГОС СПО и положений федеральной основной общеобразовательной программы среднего общего образования с учетом получаемой профессии.</w:t>
      </w:r>
    </w:p>
    <w:p w14:paraId="507A348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6A26DF6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1.4. Обучение по образовательной программе в образовательной организации осуществляется в очной и очно-заочной формах обучения.</w:t>
      </w:r>
    </w:p>
    <w:p w14:paraId="4024608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282A035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3F43237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4E5CC97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14:paraId="13BB177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2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4B050C3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6D5EEE6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3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3284A32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2" w:name="P71"/>
      <w:bookmarkEnd w:id="2"/>
      <w:r>
        <w:rPr>
          <w:rFonts w:hint="default" w:ascii="Times New Roman" w:hAnsi="Times New Roman" w:cs="Times New Roman"/>
          <w:color w:val="auto"/>
          <w:sz w:val="28"/>
          <w:szCs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027F2DA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базе среднего общего образования - 10 месяцев;</w:t>
      </w:r>
    </w:p>
    <w:p w14:paraId="45425C8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базе основного общего образования - 1 год 10 месяцев.</w:t>
      </w:r>
    </w:p>
    <w:p w14:paraId="4FCAF83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14:paraId="228E2B1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14:paraId="43CE99B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14:paraId="29A4FA6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При обучении по индивидуальному учебному плану несовершеннолетних обучающихся по очной форме обучения, осваивающих виды деятельности, предполагающие выполнение работ из числа работ, включенных в перечень тяжелых работ и работ с вредными или опасными условиями труда, при выполнении которых запрещается применение труда лиц моложе 18 лет, утвержденный постановлением Правительства Российской Федерации от 25 февраля 2000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163,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14:paraId="388A2EE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(абзац введен Приказом Минпросвещения России от 27.03.2025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239)</w:t>
      </w:r>
    </w:p>
    <w:p w14:paraId="6B612A7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пунктом 1.9 ФГОС СПО.</w:t>
      </w:r>
    </w:p>
    <w:p w14:paraId="33ACF7E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14:paraId="73D94B1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3" w:name="P81"/>
      <w:bookmarkEnd w:id="3"/>
      <w:r>
        <w:rPr>
          <w:rFonts w:hint="default" w:ascii="Times New Roman" w:hAnsi="Times New Roman" w:cs="Times New Roman"/>
          <w:color w:val="auto"/>
          <w:sz w:val="28"/>
          <w:szCs w:val="28"/>
        </w:rPr>
        <w:t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23 Деревообрабатывающая и целлюлозно-бумажная промышленность, мебельное производство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4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70B466B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60EF663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1.14.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14:paraId="5D2BA8F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(п. 1.14 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0FA97AD7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II. ТРЕБОВАНИЯ К СТРУКТУРЕ ОБРАЗОВАТЕЛЬНОЙ ПРОГРАММЫ</w:t>
      </w:r>
    </w:p>
    <w:p w14:paraId="0E19AFE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4B0CAC0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2.1. Структура и объем образовательной программы (таблица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1) включает:</w:t>
      </w:r>
    </w:p>
    <w:p w14:paraId="131599A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дисциплины (модули);</w:t>
      </w:r>
    </w:p>
    <w:p w14:paraId="3A8D9CE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практику;</w:t>
      </w:r>
    </w:p>
    <w:p w14:paraId="0F6308D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государственную итоговую аттестацию.</w:t>
      </w:r>
    </w:p>
    <w:p w14:paraId="768C88E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</w:t>
      </w:r>
    </w:p>
    <w:p w14:paraId="4B1B06B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P98"/>
      <w:bookmarkEnd w:id="4"/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Структура и объем образовательной программы</w:t>
      </w:r>
    </w:p>
    <w:p w14:paraId="4481729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5"/>
      </w:tblGrid>
      <w:tr w14:paraId="2C75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535" w:type="dxa"/>
          </w:tcPr>
          <w:p w14:paraId="460E994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4535" w:type="dxa"/>
          </w:tcPr>
          <w:p w14:paraId="6803194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Объем образовательной программы, в академических часах</w:t>
            </w:r>
          </w:p>
        </w:tc>
      </w:tr>
      <w:tr w14:paraId="134ED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535" w:type="dxa"/>
          </w:tcPr>
          <w:p w14:paraId="413973A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Дисциплины (модули)</w:t>
            </w:r>
          </w:p>
        </w:tc>
        <w:tc>
          <w:tcPr>
            <w:tcW w:w="4535" w:type="dxa"/>
          </w:tcPr>
          <w:p w14:paraId="76982C3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менее 540</w:t>
            </w:r>
          </w:p>
        </w:tc>
      </w:tr>
      <w:tr w14:paraId="22C8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535" w:type="dxa"/>
          </w:tcPr>
          <w:p w14:paraId="312C191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Практика</w:t>
            </w:r>
          </w:p>
        </w:tc>
        <w:tc>
          <w:tcPr>
            <w:tcW w:w="4535" w:type="dxa"/>
          </w:tcPr>
          <w:p w14:paraId="769C7CE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менее 468</w:t>
            </w:r>
          </w:p>
        </w:tc>
      </w:tr>
      <w:tr w14:paraId="19B4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535" w:type="dxa"/>
          </w:tcPr>
          <w:p w14:paraId="657265B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4535" w:type="dxa"/>
          </w:tcPr>
          <w:p w14:paraId="59577FF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</w:tr>
      <w:tr w14:paraId="70DD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9070" w:type="dxa"/>
            <w:gridSpan w:val="2"/>
          </w:tcPr>
          <w:p w14:paraId="0F6480E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Общий объем образовательной программы:</w:t>
            </w:r>
          </w:p>
        </w:tc>
      </w:tr>
      <w:tr w14:paraId="32AE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535" w:type="dxa"/>
          </w:tcPr>
          <w:p w14:paraId="7A76AA0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4535" w:type="dxa"/>
          </w:tcPr>
          <w:p w14:paraId="3159591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1476</w:t>
            </w:r>
          </w:p>
        </w:tc>
      </w:tr>
      <w:tr w14:paraId="1290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535" w:type="dxa"/>
            <w:tcBorders>
              <w:bottom w:val="nil"/>
            </w:tcBorders>
          </w:tcPr>
          <w:p w14:paraId="48A38A0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535" w:type="dxa"/>
            <w:tcBorders>
              <w:bottom w:val="nil"/>
            </w:tcBorders>
          </w:tcPr>
          <w:p w14:paraId="41CD87E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2952</w:t>
            </w:r>
          </w:p>
        </w:tc>
      </w:tr>
      <w:tr w14:paraId="7732B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9070" w:type="dxa"/>
            <w:gridSpan w:val="2"/>
            <w:tcBorders>
              <w:top w:val="nil"/>
            </w:tcBorders>
          </w:tcPr>
          <w:p w14:paraId="19BADB7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(в ред. Приказа Минпросвещения России от 03.07.2024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464)</w:t>
            </w:r>
          </w:p>
        </w:tc>
      </w:tr>
    </w:tbl>
    <w:p w14:paraId="6E96669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DC7EB3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2.2. Образовательная программа включает:</w:t>
      </w:r>
    </w:p>
    <w:p w14:paraId="1B0825E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социально-гуманитарный цикл;</w:t>
      </w:r>
    </w:p>
    <w:p w14:paraId="65C2FF7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общепрофессиональный цикл;</w:t>
      </w:r>
    </w:p>
    <w:p w14:paraId="7D9F3A7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профессиональный цикл.</w:t>
      </w:r>
    </w:p>
    <w:p w14:paraId="4D0C6E0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14:paraId="5F68EB5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Обязательная часть образовательной программы направлена на формирование общих и профессиональных компетенций, предусмотренных главой III ФГОС СПО.</w:t>
      </w:r>
    </w:p>
    <w:p w14:paraId="5179F29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14:paraId="687EB5C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основных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 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14:paraId="15ADBB9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0AAEB68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5" w:name="P124"/>
      <w:bookmarkEnd w:id="5"/>
      <w:r>
        <w:rPr>
          <w:rFonts w:hint="default" w:ascii="Times New Roman" w:hAnsi="Times New Roman" w:cs="Times New Roman"/>
          <w:color w:val="auto"/>
          <w:sz w:val="28"/>
          <w:szCs w:val="28"/>
        </w:rP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14:paraId="6C35930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управление работой линий на деревоперерабатывающих производствах (по выбору);</w:t>
      </w:r>
    </w:p>
    <w:p w14:paraId="5A2028D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изготовление деталей из древесины и древесных материалов на оборудовании универсального назначения в деревообработке и производстве мебели (по выбору);</w:t>
      </w:r>
    </w:p>
    <w:p w14:paraId="3FE8FA9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обработка заготовок, деталей, изделий из древесины и древесных материалов на специализированных, специальных станках и другом специализированном деревообрабатывающем оборудовании (по выбору).</w:t>
      </w:r>
    </w:p>
    <w:p w14:paraId="53F94E7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(п. 2.4 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4F1DBA8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2.5. Образовательная организация при необходимости самостоятельно формирует виды деятельности в дополнение к видам деятельности, указанным в пункте 2.4 ФГОС СПО, в рамках вариативной части.</w:t>
      </w:r>
    </w:p>
    <w:p w14:paraId="29D6972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14:paraId="1AD7332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проведение учебных занятий и практики должно быть выделено не менее 70 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14:paraId="323933C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1C6F33E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производства".</w:t>
      </w:r>
    </w:p>
    <w:p w14:paraId="29473D2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</w:p>
    <w:p w14:paraId="319209F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14:paraId="3F612DD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14:paraId="136A744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69B803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2.8. Обязательная часть общепрофессионального цикла образовательной программы должна предусматривать изучение следующих дисциплин: "Материаловедение и основы древесиноведения", "Основы управления, ремонта и наладки деревообрабатывающих машин", "Охрана труда", "Основы электротехники и электроники".</w:t>
      </w:r>
    </w:p>
    <w:p w14:paraId="07DD989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пунктом 2.4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14:paraId="4E82D63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5BAA082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14:paraId="6BF3145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219E2B3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14:paraId="72364E7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2.12. Государственная итоговая аттестация проводится в форме демонстрационного экзамена.</w:t>
      </w:r>
    </w:p>
    <w:p w14:paraId="1E15A7A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0E3A53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2.13. Государственная итоговая аттестация завершается присвоением квалификации квалифицированного рабочего, служащего, указанной в пункте 1.1 ФГОС СПО.</w:t>
      </w:r>
    </w:p>
    <w:p w14:paraId="298E054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5704DF0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bookmarkStart w:id="6" w:name="P146"/>
      <w:bookmarkEnd w:id="6"/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III. ТРЕБОВАНИЯ К РЕЗУЛЬТАТАМ ОСВОЕНИЯ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ОБРАЗОВАТЕЛЬНОЙ ПРОГРАММЫ</w:t>
      </w:r>
    </w:p>
    <w:p w14:paraId="47B4B2E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B449F7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650C264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3.2. Выпускник, освоивший образовательную программу, должен обладать следующими общими компетенциями (далее - ОК):</w:t>
      </w:r>
    </w:p>
    <w:p w14:paraId="22ADAB5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47AF58A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2774512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535EF59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5680142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04. Эффективно взаимодействовать и работать в коллективе и команде;</w:t>
      </w:r>
    </w:p>
    <w:p w14:paraId="07B99CD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0719FC8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43EC059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05233E5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673D130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61525CB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14:paraId="6D82A1A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2), предусмотренным пунктом 2.4 ФГОС СПО, сформированными в том числе на основе профессиональных стандартов (при наличии), указанных в ПОП:</w:t>
      </w:r>
    </w:p>
    <w:p w14:paraId="49AF6A0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02C9F5C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</w:t>
      </w:r>
    </w:p>
    <w:p w14:paraId="26E2504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31"/>
        <w:gridCol w:w="5839"/>
      </w:tblGrid>
      <w:tr w14:paraId="04D6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3231" w:type="dxa"/>
          </w:tcPr>
          <w:p w14:paraId="67343A8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Виды деятельности</w:t>
            </w:r>
          </w:p>
        </w:tc>
        <w:tc>
          <w:tcPr>
            <w:tcW w:w="5839" w:type="dxa"/>
          </w:tcPr>
          <w:p w14:paraId="78D4890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14:paraId="79D1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3231" w:type="dxa"/>
          </w:tcPr>
          <w:p w14:paraId="417AE5E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5839" w:type="dxa"/>
          </w:tcPr>
          <w:p w14:paraId="0D2DE2F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14:paraId="1C35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3231" w:type="dxa"/>
          </w:tcPr>
          <w:p w14:paraId="11AD8AB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управление работой линий на деревоперерабатывающих производствах (по выбору)</w:t>
            </w:r>
          </w:p>
        </w:tc>
        <w:tc>
          <w:tcPr>
            <w:tcW w:w="5839" w:type="dxa"/>
          </w:tcPr>
          <w:p w14:paraId="443DF83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1.1. Осуществлять эксплуатацию линии или установки по переработке древесины и древесных материалов и сушке древесины и древесных частиц;</w:t>
            </w:r>
          </w:p>
          <w:p w14:paraId="56F8D10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1.2. Управлять автоматизированными системами и электронно-вычислительными машинами и установками по измельчению древесины, изготовлению шпона, склеиванию и облицовыванию древесины;</w:t>
            </w:r>
          </w:p>
          <w:p w14:paraId="5CCC367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1.3. Осуществлять обслуживание автоматических и полуавтоматических линий машинной обработки и сборки брусковых и щитовых деталей и изделий, а также контроля качества продукции.</w:t>
            </w:r>
          </w:p>
        </w:tc>
      </w:tr>
      <w:tr w14:paraId="0E83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3231" w:type="dxa"/>
          </w:tcPr>
          <w:p w14:paraId="5B77C23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изготовление деталей из древесины и древесных материалов на оборудовании универсального назначения в деревообработке и производстве мебели (по выбору)</w:t>
            </w:r>
          </w:p>
        </w:tc>
        <w:tc>
          <w:tcPr>
            <w:tcW w:w="5839" w:type="dxa"/>
          </w:tcPr>
          <w:p w14:paraId="2A60050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1.1. Осуществлять подготовку рабочего места, приспособлений для операций обработки деталей и изделий из древесины на универсальных деревообрабатывающих станках, включая установку и смену режущего инструмента.</w:t>
            </w:r>
          </w:p>
          <w:p w14:paraId="0362BAC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1.2 Обрабатывать детали и изделия из древесины на универсальных деревообрабатывающих станках.</w:t>
            </w:r>
          </w:p>
          <w:p w14:paraId="5C4FF08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1.3 Осуществлять наладку деревообрабатывающих станков на параметры обработки и оптимальные режимы работы.</w:t>
            </w:r>
          </w:p>
          <w:p w14:paraId="6B9FE9B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1.4 Участвовать в ремонте деревообрабатывающих станков.</w:t>
            </w:r>
          </w:p>
          <w:p w14:paraId="0C1749C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1.5 Осуществлять контроль качества и устранять дефекты обработки деталей.</w:t>
            </w:r>
          </w:p>
        </w:tc>
      </w:tr>
      <w:tr w14:paraId="5312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3231" w:type="dxa"/>
          </w:tcPr>
          <w:p w14:paraId="05C851D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обработка заготовок, деталей, изделий из древесины и древесных материалов на специализированных, специальных станках и другом специализированном деревообрабатывающем оборудовании (по выбору)</w:t>
            </w:r>
          </w:p>
        </w:tc>
        <w:tc>
          <w:tcPr>
            <w:tcW w:w="5839" w:type="dxa"/>
          </w:tcPr>
          <w:p w14:paraId="6E79181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1.1. Осуществлять подготовку рабочего места, приспособлений, программного обеспечения для обработки деталей и изделий из древесины на специализированных, специальных станках и другом деревообрабатывающем оборудовании.</w:t>
            </w:r>
          </w:p>
          <w:p w14:paraId="4B829E4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1.2 Обрабатывать детали и изделия средней сложности из древесины на специализированных и специальных деревообрабатывающих станках с программным управлением (ПУ)/сложных деталей и изделий на многокоординатных деревообрабатывающих станках (центрах) с числовым программным управлением (ЧПУ).</w:t>
            </w:r>
          </w:p>
          <w:p w14:paraId="3F618D0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1.3 Проводить ежесменное техническое обслуживание деревообрабатывающих станков с ПУ/ЧПУ в объеме руководства по эксплуатации оборудования, включая выявление и устранение недостатков.</w:t>
            </w:r>
          </w:p>
          <w:p w14:paraId="1AE20CD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1.4. Оформлять учетную документацию на изготовленную и бракованную продукцию из древесины.</w:t>
            </w:r>
          </w:p>
        </w:tc>
      </w:tr>
    </w:tbl>
    <w:p w14:paraId="198B49F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3C6971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7" w:name="_GoBack"/>
      <w:bookmarkEnd w:id="7"/>
    </w:p>
    <w:p w14:paraId="1F0DAD0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пунктом 2.4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14:paraId="0C3F5BD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14:paraId="4581D23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14:paraId="523BD3A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7E4B410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14:paraId="40494B7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3.6. Обучающиеся, осваивающие образовательную программу, могут освоить дополнительно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5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0AC140F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44D9967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770A03DE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DEF9FE1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CE79369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65CF7EC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0DFE16D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6C16591C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CCAB541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IV. ТРЕБОВАНИЯ К УСЛОВИЯМ РЕАЛИЗАЦИИ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ОБРАЗОВАТЕЛЬНОЙ ПРОГРАММЫ</w:t>
      </w:r>
    </w:p>
    <w:p w14:paraId="22BC5FB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4DAA06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6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6534287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14:paraId="7A6E73D7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4.3. Общесистемные требования к условиям реализации образовательной программы:</w:t>
      </w:r>
    </w:p>
    <w:p w14:paraId="7A70FCA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14:paraId="7A2AA77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66B96A2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14:paraId="3F988B8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79DA8EE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4349F7D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77EE812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59784EF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14:paraId="6A09179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г) допускается замена оборудования его виртуальными аналогами;</w:t>
      </w:r>
    </w:p>
    <w:p w14:paraId="64DEAAA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21D294C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0A4EBE6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270C66D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0F73E4A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5812C89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1ED30D9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700D125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государственной итоговой аттестации;</w:t>
      </w:r>
    </w:p>
    <w:p w14:paraId="3C91D0B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582310B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206A1C0B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4.5. Требования к кадровым условиям реализации образовательной программы:</w:t>
      </w:r>
    </w:p>
    <w:p w14:paraId="5ECDD33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пункте 1.13 ФГОС СПО (имеющих стаж работы в данной профессиональной области не менее трех лет);</w:t>
      </w:r>
    </w:p>
    <w:p w14:paraId="18DDF3A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762338C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1.13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71D6E47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пункте 1.13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14:paraId="39A560C2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4.6. Требование к финансовым условиям реализации образовательной программы:</w:t>
      </w:r>
    </w:p>
    <w:p w14:paraId="290378F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7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и Федеральным законом от 29 декабря 2012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273-ФЗ "Об образовании в Российской Федерации"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8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716BB567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14:paraId="546BED8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52AE8BB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77DB365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14:paraId="44A5434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(пп. "в" 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sectPr>
      <w:headerReference r:id="rId4" w:type="first"/>
      <w:footerReference r:id="rId6" w:type="first"/>
      <w:footerReference r:id="rId5" w:type="default"/>
      <w:pgSz w:w="11906" w:h="16838"/>
      <w:pgMar w:top="1440" w:right="566" w:bottom="1440" w:left="1133" w:header="0" w:footer="28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5C96A">
    <w:pPr>
      <w:pStyle w:val="7"/>
      <w:rPr>
        <w:rFonts w:hint="default" w:ascii="Times New Roman" w:hAnsi="Times New Roman" w:cs="Times New Roman"/>
        <w:color w:val="auto"/>
        <w:sz w:val="20"/>
        <w:szCs w:val="20"/>
      </w:rPr>
    </w:pP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 xml:space="preserve">ФГОС СПО </w:t>
    </w:r>
    <w:r>
      <w:rPr>
        <w:rFonts w:hint="default" w:ascii="Times New Roman" w:hAnsi="Times New Roman" w:cs="Times New Roman"/>
        <w:color w:val="auto"/>
        <w:sz w:val="20"/>
        <w:szCs w:val="20"/>
      </w:rPr>
      <w:t>35.01.25 Оператор-станочник деревообрабатывающего оборудования</w:t>
    </w:r>
  </w:p>
  <w:p w14:paraId="14365C84">
    <w:pPr>
      <w:pStyle w:val="9"/>
      <w:keepNext w:val="0"/>
      <w:keepLines w:val="0"/>
      <w:pageBreakBefore w:val="0"/>
      <w:kinsoku/>
      <w:wordWrap/>
      <w:overflowPunct/>
      <w:topLinePunct w:val="0"/>
      <w:bidi w:val="0"/>
      <w:adjustRightInd/>
      <w:snapToGrid/>
      <w:spacing w:before="0" w:after="0" w:line="240" w:lineRule="auto"/>
      <w:jc w:val="both"/>
      <w:textAlignment w:val="auto"/>
      <w:rPr>
        <w:rFonts w:hint="default" w:ascii="Times New Roman" w:hAnsi="Times New Roman" w:cs="Times New Roman"/>
        <w:color w:val="auto"/>
        <w:sz w:val="20"/>
        <w:szCs w:val="20"/>
      </w:rPr>
    </w:pPr>
    <w:r>
      <w:rPr>
        <w:rFonts w:hint="default" w:cs="Times New Roman"/>
        <w:i w:val="0"/>
        <w:iCs w:val="0"/>
        <w:color w:val="auto"/>
        <w:sz w:val="20"/>
        <w:szCs w:val="20"/>
        <w:highlight w:val="none"/>
        <w:lang w:val="ru-RU"/>
      </w:rPr>
      <w:t xml:space="preserve">В документ внесены изменения </w:t>
    </w:r>
    <w:r>
      <w:rPr>
        <w:rFonts w:hint="default" w:ascii="Times New Roman" w:hAnsi="Times New Roman" w:cs="Times New Roman"/>
        <w:color w:val="auto"/>
        <w:sz w:val="20"/>
        <w:szCs w:val="20"/>
      </w:rPr>
      <w:t>Приказ</w:t>
    </w:r>
    <w:r>
      <w:rPr>
        <w:rFonts w:hint="default" w:cs="Times New Roman"/>
        <w:color w:val="auto"/>
        <w:sz w:val="20"/>
        <w:szCs w:val="20"/>
        <w:lang w:val="ru-RU"/>
      </w:rPr>
      <w:t>ами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Минпросвещения России от 03.07.2024 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№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464,</w:t>
    </w:r>
    <w:r>
      <w:rPr>
        <w:rFonts w:hint="default" w:cs="Times New Roman"/>
        <w:color w:val="auto"/>
        <w:sz w:val="20"/>
        <w:szCs w:val="20"/>
        <w:lang w:val="ru-RU"/>
      </w:rPr>
      <w:t xml:space="preserve"> 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от 27.03.2025 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№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239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FE8AF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8">
    <w:p>
      <w:r>
        <w:separator/>
      </w:r>
    </w:p>
  </w:footnote>
  <w:footnote w:type="continuationSeparator" w:id="19">
    <w:p>
      <w:r>
        <w:continuationSeparator/>
      </w:r>
    </w:p>
  </w:footnote>
  <w:footnote w:id="0">
    <w:p w14:paraId="1F66256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Перечень профессий среднего профессионального образования, утвержденный приказом Министерства просвещения Российской Федерации от 17 мая 2022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336 (зарегистрирован Министерством юстиции Российской Федерации 17 июня 2022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68887).</w:t>
      </w:r>
    </w:p>
  </w:footnote>
  <w:footnote w:id="1">
    <w:p w14:paraId="11297C3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413 (зарегистрирован Министерством юстиции Российской Федерации 7 июня 2012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24480), с изменениями, внесенными приказами Министерства образования и науки Российской Федерации от 29 декабря 2014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1645 (зарегистрирован Министерством юстиции Российской Федерации 9 февраля 2015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35953), от 31 декабря 2015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1578 (зарегистрирован Министерством юстиции Российской Федерации 9 февраля 2016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41020), от 29 июня 2017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613 (зарегистрирован Министерством юстиции Российской Федерации 26 июля 2017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47532), приказами Министерства просвещения Российской Федерации от 24 сентября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519 (зарегистрирован Министерством юстиции Российской Федерации 23 декабря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61749), от 11 декабря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712 (зарегистрирован Министерством юстиции Российской Федерации 25 декабря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61828), от 12 августа 2022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732 (зарегистрирован Министерством юстиции Российской Федерации 12 сентября 2022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70034) и от 27 декабря 2023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1028 (зарегистрирован Министерством юстиции Российской Федерации 2 февраля 2024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77121).</w:t>
      </w:r>
    </w:p>
    <w:p w14:paraId="26BEE1B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464)</w:t>
      </w:r>
    </w:p>
  </w:footnote>
  <w:footnote w:id="2">
    <w:p w14:paraId="54B716E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Часть 2 статьи 12.1 Федерального закона от 29 декабря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2020,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31, ст. 5063).</w:t>
      </w:r>
    </w:p>
  </w:footnote>
  <w:footnote w:id="3">
    <w:p w14:paraId="3597990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Статья 14 Федерального закона от 29 декабря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2018,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32, ст. 5110).</w:t>
      </w:r>
    </w:p>
  </w:footnote>
  <w:footnote w:id="4">
    <w:p w14:paraId="4BD3F72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Таблица приложения к приказу Министерства труда и социальной защиты Российской Федерации от 29 сентября 2014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34779) с изменением, внесенным приказом Министерства труда и социальной защиты Российской Федерации от 9 марта 2017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254н (зарегистрирован Министерством юстиции Российской Федерации 29 марта 2017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46168).</w:t>
      </w:r>
    </w:p>
  </w:footnote>
  <w:footnote w:id="5">
    <w:p w14:paraId="4E44320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Часть 7 статьи 73 Федерального закона от 29 декабря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2020,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22, ст. 3379).</w:t>
      </w:r>
    </w:p>
  </w:footnote>
  <w:footnote w:id="6">
    <w:p w14:paraId="5456620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Федеральный закон от 30 марта 1999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52-ФЗ "О санитарно-эпидемиологическом благополучии населения" (Собрание законодательства Российской Федерации, 1999,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14, ст. 1650; 2021,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27, ст. 5185); 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28 (зарегистрировано Министерством юстиции Российской Федерации 18 декабря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61573); санитарно-эпидемиологические правила и нормы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32 (зарегистрировано Министерством юстиции Российской Федерации 11 ноября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60833); 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 (зарегистрировано Министерством юстиции Российской Федерации 29 января 2021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62296).</w:t>
      </w:r>
    </w:p>
  </w:footnote>
  <w:footnote w:id="7">
    <w:p w14:paraId="3DFDBF3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Бюджетный кодекс Российской Федерации (Собрание законодательства Российской Федерации, 1998,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31, ст. 3823; официальный интернет-портал правовой информации (www.pravo.gov.ru), 2022, 14 июля,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 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0001202207140094).</w:t>
      </w:r>
    </w:p>
  </w:footnote>
  <w:footnote w:id="8">
    <w:p w14:paraId="65DA355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официальный интернет-портал правовой информации (www.pravo.gov.ru), 2022, 14 июля,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0001202207140056.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1F508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508A18"/>
    <w:multiLevelType w:val="singleLevel"/>
    <w:tmpl w:val="ED508A1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18"/>
    <w:footnote w:id="19"/>
  </w:footnotePr>
  <w:compat>
    <w:splitPgBreakAndParaMark/>
    <w:compatSetting w:name="compatibilityMode" w:uri="http://schemas.microsoft.com/office/word" w:val="12"/>
  </w:compat>
  <w:rsids>
    <w:rsidRoot w:val="00000000"/>
    <w:rsid w:val="0488280D"/>
    <w:rsid w:val="074A2D59"/>
    <w:rsid w:val="0E292F04"/>
    <w:rsid w:val="1F174776"/>
    <w:rsid w:val="47546E9B"/>
    <w:rsid w:val="7B484BB2"/>
    <w:rsid w:val="7C1C56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qFormat/>
    <w:uiPriority w:val="0"/>
    <w:rPr>
      <w:vertAlign w:val="superscript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8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szCs w:val="22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szCs w:val="22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 w:eastAsiaTheme="minorEastAsia"/>
      <w:b/>
      <w:sz w:val="24"/>
      <w:szCs w:val="22"/>
    </w:rPr>
  </w:style>
  <w:style w:type="paragraph" w:customStyle="1" w:styleId="12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szCs w:val="22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18"/>
      <w:szCs w:val="22"/>
    </w:rPr>
  </w:style>
  <w:style w:type="paragraph" w:customStyle="1" w:styleId="14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20"/>
      <w:szCs w:val="22"/>
    </w:rPr>
  </w:style>
  <w:style w:type="paragraph" w:customStyle="1" w:styleId="15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26"/>
      <w:szCs w:val="22"/>
    </w:rPr>
  </w:style>
  <w:style w:type="paragraph" w:customStyle="1" w:styleId="16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szCs w:val="22"/>
    </w:rPr>
  </w:style>
  <w:style w:type="paragraph" w:customStyle="1" w:styleId="17">
    <w:name w:val="ConsPlusTextLis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szCs w:val="22"/>
    </w:rPr>
  </w:style>
  <w:style w:type="paragraph" w:customStyle="1" w:styleId="18">
    <w:name w:val="ConsPlusNormal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szCs w:val="22"/>
    </w:rPr>
  </w:style>
  <w:style w:type="paragraph" w:customStyle="1" w:styleId="19">
    <w:name w:val="ConsPlusNonforma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szCs w:val="22"/>
    </w:rPr>
  </w:style>
  <w:style w:type="paragraph" w:customStyle="1" w:styleId="20">
    <w:name w:val="ConsPlusTitle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 w:eastAsiaTheme="minorEastAsia"/>
      <w:b/>
      <w:sz w:val="24"/>
      <w:szCs w:val="22"/>
    </w:rPr>
  </w:style>
  <w:style w:type="paragraph" w:customStyle="1" w:styleId="21">
    <w:name w:val="ConsPlusCell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szCs w:val="22"/>
    </w:rPr>
  </w:style>
  <w:style w:type="paragraph" w:customStyle="1" w:styleId="22">
    <w:name w:val="ConsPlusDocLis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18"/>
      <w:szCs w:val="22"/>
    </w:rPr>
  </w:style>
  <w:style w:type="paragraph" w:customStyle="1" w:styleId="23">
    <w:name w:val="ConsPlusTitlePage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20"/>
      <w:szCs w:val="22"/>
    </w:rPr>
  </w:style>
  <w:style w:type="paragraph" w:customStyle="1" w:styleId="24">
    <w:name w:val="ConsPlusJurTerm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26"/>
      <w:szCs w:val="22"/>
    </w:rPr>
  </w:style>
  <w:style w:type="paragraph" w:customStyle="1" w:styleId="25">
    <w:name w:val="ConsPlusTextList2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szCs w:val="22"/>
    </w:rPr>
  </w:style>
  <w:style w:type="paragraph" w:customStyle="1" w:styleId="26">
    <w:name w:val="ConsPlusTextList3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TotalTime>5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2025-05-05T18:51:00Z</dcterms:created>
  <dcterms:modified xsi:type="dcterms:W3CDTF">2025-07-09T12:20:50Z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69EDF394EEED4BCD8E415AE57E69C8A3_12</vt:lpwstr>
  </property>
</Properties>
</file>